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E961" w14:textId="34E811B4" w:rsidR="004E5F88" w:rsidRDefault="004E5F88" w:rsidP="004E5F88">
      <w:pPr>
        <w:pStyle w:val="Heading1"/>
        <w:spacing w:before="120" w:after="120"/>
        <w:jc w:val="center"/>
        <w:rPr>
          <w:sz w:val="23"/>
          <w:szCs w:val="23"/>
        </w:rPr>
      </w:pPr>
      <w:r>
        <w:rPr>
          <w:rFonts w:ascii="Times New Roman" w:hAnsi="Times New Roman" w:cs="Times New Roman"/>
          <w:noProof/>
          <w:sz w:val="24"/>
          <w:szCs w:val="24"/>
        </w:rPr>
        <w:drawing>
          <wp:inline distT="0" distB="0" distL="0" distR="0" wp14:anchorId="45FBFF7B" wp14:editId="6F84EA65">
            <wp:extent cx="4823460" cy="1574104"/>
            <wp:effectExtent l="0" t="0" r="0" b="7620"/>
            <wp:docPr id="15" name="Picture 15"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rginia Department of Education Logo"/>
                    <pic:cNvPicPr/>
                  </pic:nvPicPr>
                  <pic:blipFill>
                    <a:blip r:embed="rId8">
                      <a:extLst>
                        <a:ext uri="{28A0092B-C50C-407E-A947-70E740481C1C}">
                          <a14:useLocalDpi xmlns:a14="http://schemas.microsoft.com/office/drawing/2010/main" val="0"/>
                        </a:ext>
                      </a:extLst>
                    </a:blip>
                    <a:stretch>
                      <a:fillRect/>
                    </a:stretch>
                  </pic:blipFill>
                  <pic:spPr>
                    <a:xfrm>
                      <a:off x="0" y="0"/>
                      <a:ext cx="4845430" cy="1581274"/>
                    </a:xfrm>
                    <a:prstGeom prst="rect">
                      <a:avLst/>
                    </a:prstGeom>
                  </pic:spPr>
                </pic:pic>
              </a:graphicData>
            </a:graphic>
          </wp:inline>
        </w:drawing>
      </w:r>
    </w:p>
    <w:p w14:paraId="00000001" w14:textId="37CC75AE" w:rsidR="001C1C59" w:rsidRPr="00025BA2" w:rsidRDefault="00850007" w:rsidP="004E5F88">
      <w:pPr>
        <w:pStyle w:val="Heading1"/>
        <w:spacing w:before="120" w:after="240"/>
        <w:jc w:val="center"/>
        <w:rPr>
          <w:rFonts w:ascii="Trebuchet MS" w:hAnsi="Trebuchet MS"/>
          <w:color w:val="auto"/>
          <w:sz w:val="32"/>
          <w:szCs w:val="23"/>
        </w:rPr>
      </w:pPr>
      <w:r w:rsidRPr="00025BA2">
        <w:rPr>
          <w:rFonts w:ascii="Trebuchet MS" w:hAnsi="Trebuchet MS"/>
          <w:color w:val="auto"/>
          <w:sz w:val="32"/>
          <w:szCs w:val="23"/>
        </w:rPr>
        <w:t>Virginia Adult</w:t>
      </w:r>
      <w:r w:rsidR="00641E1F" w:rsidRPr="00025BA2">
        <w:rPr>
          <w:rFonts w:ascii="Trebuchet MS" w:hAnsi="Trebuchet MS"/>
          <w:color w:val="auto"/>
          <w:sz w:val="32"/>
          <w:szCs w:val="23"/>
        </w:rPr>
        <w:t xml:space="preserve"> Education Narrative Report </w:t>
      </w:r>
      <w:r w:rsidR="002225D4" w:rsidRPr="00025BA2">
        <w:rPr>
          <w:rFonts w:ascii="Trebuchet MS" w:hAnsi="Trebuchet MS"/>
          <w:color w:val="auto"/>
          <w:sz w:val="32"/>
          <w:szCs w:val="23"/>
        </w:rPr>
        <w:t>2020-</w:t>
      </w:r>
      <w:r w:rsidR="004E5F88" w:rsidRPr="00025BA2">
        <w:rPr>
          <w:rFonts w:ascii="Trebuchet MS" w:hAnsi="Trebuchet MS"/>
          <w:color w:val="auto"/>
          <w:sz w:val="32"/>
          <w:szCs w:val="23"/>
        </w:rPr>
        <w:t>20</w:t>
      </w:r>
      <w:r w:rsidR="002225D4" w:rsidRPr="00025BA2">
        <w:rPr>
          <w:rFonts w:ascii="Trebuchet MS" w:hAnsi="Trebuchet MS"/>
          <w:color w:val="auto"/>
          <w:sz w:val="32"/>
          <w:szCs w:val="23"/>
        </w:rPr>
        <w:t>21</w:t>
      </w:r>
    </w:p>
    <w:p w14:paraId="169D2B65" w14:textId="2B4207B1" w:rsidR="004E5F88" w:rsidRPr="00025BA2" w:rsidRDefault="005E7A66" w:rsidP="00025BA2">
      <w:pPr>
        <w:pStyle w:val="Heading2"/>
        <w:spacing w:before="120" w:after="360"/>
        <w:rPr>
          <w:rFonts w:ascii="Trebuchet MS" w:hAnsi="Trebuchet MS"/>
          <w:sz w:val="23"/>
          <w:szCs w:val="23"/>
        </w:rPr>
      </w:pPr>
      <w:r w:rsidRPr="00025BA2">
        <w:rPr>
          <w:rFonts w:ascii="Trebuchet MS" w:hAnsi="Trebuchet MS" w:cstheme="majorHAnsi"/>
          <w:b w:val="0"/>
          <w:color w:val="auto"/>
          <w:sz w:val="23"/>
          <w:szCs w:val="23"/>
        </w:rPr>
        <w:t>This</w:t>
      </w:r>
      <w:r w:rsidR="004E5F88" w:rsidRPr="00025BA2">
        <w:rPr>
          <w:rFonts w:ascii="Trebuchet MS" w:hAnsi="Trebuchet MS" w:cstheme="majorHAnsi"/>
          <w:b w:val="0"/>
          <w:color w:val="auto"/>
          <w:sz w:val="23"/>
          <w:szCs w:val="23"/>
        </w:rPr>
        <w:t xml:space="preserve"> report is prepared and submitted to the U.S. Department of Education, Office of Career, Technical, and Adult Education pursuant to annual reporting requirements. This report and those from </w:t>
      </w:r>
      <w:r w:rsidR="00A177B7" w:rsidRPr="00025BA2">
        <w:rPr>
          <w:rFonts w:ascii="Trebuchet MS" w:hAnsi="Trebuchet MS" w:cstheme="majorHAnsi"/>
          <w:b w:val="0"/>
          <w:color w:val="auto"/>
          <w:sz w:val="23"/>
          <w:szCs w:val="23"/>
        </w:rPr>
        <w:t xml:space="preserve">previous </w:t>
      </w:r>
      <w:r w:rsidR="004E5F88" w:rsidRPr="00025BA2">
        <w:rPr>
          <w:rFonts w:ascii="Trebuchet MS" w:hAnsi="Trebuchet MS" w:cstheme="majorHAnsi"/>
          <w:b w:val="0"/>
          <w:color w:val="auto"/>
          <w:sz w:val="23"/>
          <w:szCs w:val="23"/>
        </w:rPr>
        <w:t>years are made available on the</w:t>
      </w:r>
      <w:r w:rsidR="00AF2C28" w:rsidRPr="00025BA2">
        <w:rPr>
          <w:rFonts w:ascii="Trebuchet MS" w:hAnsi="Trebuchet MS" w:cstheme="majorHAnsi"/>
          <w:b w:val="0"/>
          <w:color w:val="auto"/>
          <w:sz w:val="23"/>
          <w:szCs w:val="23"/>
        </w:rPr>
        <w:t xml:space="preserve"> Virginia Department of Education’s</w:t>
      </w:r>
      <w:r w:rsidR="004E5F88" w:rsidRPr="00025BA2">
        <w:rPr>
          <w:rFonts w:ascii="Trebuchet MS" w:hAnsi="Trebuchet MS" w:cstheme="majorHAnsi"/>
          <w:b w:val="0"/>
          <w:color w:val="auto"/>
          <w:sz w:val="23"/>
          <w:szCs w:val="23"/>
        </w:rPr>
        <w:t xml:space="preserve"> </w:t>
      </w:r>
      <w:r w:rsidR="00AF2C28" w:rsidRPr="00025BA2">
        <w:rPr>
          <w:rFonts w:ascii="Trebuchet MS" w:hAnsi="Trebuchet MS" w:cstheme="majorHAnsi"/>
          <w:b w:val="0"/>
          <w:color w:val="auto"/>
          <w:sz w:val="23"/>
          <w:szCs w:val="23"/>
        </w:rPr>
        <w:t>(</w:t>
      </w:r>
      <w:r w:rsidR="004E5F88" w:rsidRPr="00025BA2">
        <w:rPr>
          <w:rFonts w:ascii="Trebuchet MS" w:hAnsi="Trebuchet MS" w:cstheme="majorHAnsi"/>
          <w:b w:val="0"/>
          <w:color w:val="auto"/>
          <w:sz w:val="23"/>
          <w:szCs w:val="23"/>
        </w:rPr>
        <w:t>VDOE</w:t>
      </w:r>
      <w:r w:rsidR="00AF2C28" w:rsidRPr="00025BA2">
        <w:rPr>
          <w:rFonts w:ascii="Trebuchet MS" w:hAnsi="Trebuchet MS" w:cstheme="majorHAnsi"/>
          <w:b w:val="0"/>
          <w:color w:val="auto"/>
          <w:sz w:val="23"/>
          <w:szCs w:val="23"/>
        </w:rPr>
        <w:t xml:space="preserve">) </w:t>
      </w:r>
      <w:hyperlink r:id="rId9" w:history="1">
        <w:r w:rsidR="004E5F88" w:rsidRPr="00025BA2">
          <w:rPr>
            <w:rStyle w:val="Hyperlink"/>
            <w:rFonts w:ascii="Trebuchet MS" w:hAnsi="Trebuchet MS" w:cstheme="majorHAnsi"/>
            <w:b w:val="0"/>
            <w:sz w:val="23"/>
            <w:szCs w:val="23"/>
          </w:rPr>
          <w:t>Data, Monitoring, and Evaluation</w:t>
        </w:r>
      </w:hyperlink>
      <w:r w:rsidR="004E5F88" w:rsidRPr="00025BA2">
        <w:rPr>
          <w:rFonts w:ascii="Trebuchet MS" w:hAnsi="Trebuchet MS" w:cstheme="majorHAnsi"/>
          <w:b w:val="0"/>
          <w:color w:val="auto"/>
          <w:sz w:val="23"/>
          <w:szCs w:val="23"/>
        </w:rPr>
        <w:t xml:space="preserve"> webpage. </w:t>
      </w:r>
    </w:p>
    <w:p w14:paraId="00000002" w14:textId="0E6D6A8C" w:rsidR="001C1C59" w:rsidRPr="00025BA2" w:rsidRDefault="00850007" w:rsidP="00471583">
      <w:pPr>
        <w:pStyle w:val="Heading2"/>
        <w:spacing w:before="120" w:after="120"/>
        <w:rPr>
          <w:rFonts w:ascii="Trebuchet MS" w:hAnsi="Trebuchet MS"/>
          <w:color w:val="259591"/>
          <w:sz w:val="28"/>
          <w:szCs w:val="28"/>
        </w:rPr>
      </w:pPr>
      <w:r w:rsidRPr="00025BA2">
        <w:rPr>
          <w:rFonts w:ascii="Trebuchet MS" w:hAnsi="Trebuchet MS"/>
          <w:color w:val="259591"/>
          <w:sz w:val="28"/>
          <w:szCs w:val="28"/>
        </w:rPr>
        <w:t>State Leadership Funds (AEFLA Section 223)</w:t>
      </w:r>
    </w:p>
    <w:p w14:paraId="0000000C" w14:textId="71C3D68A" w:rsidR="001C1C59" w:rsidRPr="00025BA2" w:rsidRDefault="00850007" w:rsidP="00471583">
      <w:pPr>
        <w:spacing w:before="120" w:after="120"/>
        <w:rPr>
          <w:rFonts w:ascii="Trebuchet MS" w:hAnsi="Trebuchet MS" w:cs="Calibri"/>
          <w:sz w:val="23"/>
          <w:szCs w:val="23"/>
        </w:rPr>
      </w:pPr>
      <w:r w:rsidRPr="00025BA2">
        <w:rPr>
          <w:rFonts w:ascii="Trebuchet MS" w:hAnsi="Trebuchet MS" w:cs="Calibri"/>
          <w:sz w:val="23"/>
          <w:szCs w:val="23"/>
        </w:rPr>
        <w:t>The VDOE uses state leadership funds to provide</w:t>
      </w:r>
      <w:r w:rsidR="00AA6F87" w:rsidRPr="00025BA2">
        <w:rPr>
          <w:rFonts w:ascii="Trebuchet MS" w:hAnsi="Trebuchet MS" w:cs="Calibri"/>
          <w:sz w:val="23"/>
          <w:szCs w:val="23"/>
        </w:rPr>
        <w:t>,</w:t>
      </w:r>
      <w:r w:rsidRPr="00025BA2">
        <w:rPr>
          <w:rFonts w:ascii="Trebuchet MS" w:hAnsi="Trebuchet MS" w:cs="Calibri"/>
          <w:sz w:val="23"/>
          <w:szCs w:val="23"/>
        </w:rPr>
        <w:t xml:space="preserve"> directly and through cooperative agreement with the Virginia Adult Learning Resource Center (VALRC)</w:t>
      </w:r>
      <w:r w:rsidR="00AA6F87" w:rsidRPr="00025BA2">
        <w:rPr>
          <w:rFonts w:ascii="Trebuchet MS" w:hAnsi="Trebuchet MS" w:cs="Calibri"/>
          <w:sz w:val="23"/>
          <w:szCs w:val="23"/>
        </w:rPr>
        <w:t xml:space="preserve"> at Virginia Commonwealth University</w:t>
      </w:r>
      <w:r w:rsidRPr="00025BA2">
        <w:rPr>
          <w:rFonts w:ascii="Trebuchet MS" w:hAnsi="Trebuchet MS" w:cs="Calibri"/>
          <w:sz w:val="23"/>
          <w:szCs w:val="23"/>
        </w:rPr>
        <w:t>, opportunities</w:t>
      </w:r>
      <w:r w:rsidR="00AA6F87" w:rsidRPr="00025BA2">
        <w:rPr>
          <w:rFonts w:ascii="Trebuchet MS" w:hAnsi="Trebuchet MS" w:cs="Calibri"/>
          <w:sz w:val="23"/>
          <w:szCs w:val="23"/>
        </w:rPr>
        <w:t xml:space="preserve"> for professional development</w:t>
      </w:r>
      <w:r w:rsidR="005B6323" w:rsidRPr="00025BA2">
        <w:rPr>
          <w:rFonts w:ascii="Trebuchet MS" w:hAnsi="Trebuchet MS" w:cs="Calibri"/>
          <w:sz w:val="23"/>
          <w:szCs w:val="23"/>
        </w:rPr>
        <w:t xml:space="preserve"> (PD)</w:t>
      </w:r>
      <w:r w:rsidR="00AA6F87" w:rsidRPr="00025BA2">
        <w:rPr>
          <w:rFonts w:ascii="Trebuchet MS" w:hAnsi="Trebuchet MS" w:cs="Calibri"/>
          <w:sz w:val="23"/>
          <w:szCs w:val="23"/>
        </w:rPr>
        <w:t xml:space="preserve"> and technical assistance</w:t>
      </w:r>
      <w:r w:rsidRPr="00025BA2">
        <w:rPr>
          <w:rFonts w:ascii="Trebuchet MS" w:hAnsi="Trebuchet MS" w:cs="Calibri"/>
          <w:sz w:val="23"/>
          <w:szCs w:val="23"/>
        </w:rPr>
        <w:t xml:space="preserve"> to </w:t>
      </w:r>
      <w:r w:rsidR="00AA6F87" w:rsidRPr="00025BA2">
        <w:rPr>
          <w:rFonts w:ascii="Trebuchet MS" w:hAnsi="Trebuchet MS" w:cs="Calibri"/>
          <w:sz w:val="23"/>
          <w:szCs w:val="23"/>
        </w:rPr>
        <w:t xml:space="preserve">adult education and literacy </w:t>
      </w:r>
      <w:r w:rsidRPr="00025BA2">
        <w:rPr>
          <w:rFonts w:ascii="Trebuchet MS" w:hAnsi="Trebuchet MS" w:cs="Calibri"/>
          <w:sz w:val="23"/>
          <w:szCs w:val="23"/>
        </w:rPr>
        <w:t xml:space="preserve">practitioners throughout the Commonwealth. </w:t>
      </w:r>
    </w:p>
    <w:p w14:paraId="65CBA6D7" w14:textId="094345C0" w:rsidR="0010545B" w:rsidRPr="00025BA2" w:rsidRDefault="00E537FE" w:rsidP="0010545B">
      <w:pPr>
        <w:spacing w:before="120" w:after="120"/>
        <w:rPr>
          <w:rFonts w:ascii="Trebuchet MS" w:hAnsi="Trebuchet MS" w:cs="Calibri"/>
          <w:sz w:val="23"/>
          <w:szCs w:val="23"/>
        </w:rPr>
      </w:pPr>
      <w:r w:rsidRPr="00025BA2">
        <w:rPr>
          <w:rFonts w:ascii="Trebuchet MS" w:hAnsi="Trebuchet MS" w:cs="Calibri"/>
          <w:sz w:val="23"/>
          <w:szCs w:val="23"/>
        </w:rPr>
        <w:t xml:space="preserve">In support of the requirement </w:t>
      </w:r>
      <w:r w:rsidR="00AF2C28" w:rsidRPr="00025BA2">
        <w:rPr>
          <w:rFonts w:ascii="Trebuchet MS" w:hAnsi="Trebuchet MS" w:cs="Calibri"/>
          <w:sz w:val="23"/>
          <w:szCs w:val="23"/>
        </w:rPr>
        <w:t xml:space="preserve">in </w:t>
      </w:r>
      <w:r w:rsidRPr="00025BA2">
        <w:rPr>
          <w:rFonts w:ascii="Trebuchet MS" w:hAnsi="Trebuchet MS" w:cs="Calibri"/>
          <w:b/>
          <w:sz w:val="23"/>
          <w:szCs w:val="23"/>
        </w:rPr>
        <w:t>Sec. 223</w:t>
      </w:r>
      <w:r w:rsidR="00163A42" w:rsidRPr="00025BA2">
        <w:rPr>
          <w:rFonts w:ascii="Trebuchet MS" w:hAnsi="Trebuchet MS" w:cs="Calibri"/>
          <w:b/>
          <w:sz w:val="23"/>
          <w:szCs w:val="23"/>
        </w:rPr>
        <w:t>(</w:t>
      </w:r>
      <w:r w:rsidRPr="00025BA2">
        <w:rPr>
          <w:rFonts w:ascii="Trebuchet MS" w:hAnsi="Trebuchet MS" w:cs="Calibri"/>
          <w:b/>
          <w:sz w:val="23"/>
          <w:szCs w:val="23"/>
        </w:rPr>
        <w:t>1)(</w:t>
      </w:r>
      <w:r w:rsidR="00163A42" w:rsidRPr="00025BA2">
        <w:rPr>
          <w:rFonts w:ascii="Trebuchet MS" w:hAnsi="Trebuchet MS" w:cs="Calibri"/>
          <w:b/>
          <w:sz w:val="23"/>
          <w:szCs w:val="23"/>
        </w:rPr>
        <w:t>a</w:t>
      </w:r>
      <w:r w:rsidR="001F37EB" w:rsidRPr="00025BA2">
        <w:rPr>
          <w:rFonts w:ascii="Trebuchet MS" w:hAnsi="Trebuchet MS" w:cs="Calibri"/>
          <w:b/>
          <w:sz w:val="23"/>
          <w:szCs w:val="23"/>
        </w:rPr>
        <w:t>)</w:t>
      </w:r>
      <w:r w:rsidRPr="00025BA2">
        <w:rPr>
          <w:rFonts w:ascii="Trebuchet MS" w:hAnsi="Trebuchet MS" w:cs="Calibri"/>
          <w:b/>
          <w:sz w:val="23"/>
          <w:szCs w:val="23"/>
        </w:rPr>
        <w:t>, alignment of adult education and literacy activities with other core programs and one-stop partners,</w:t>
      </w:r>
      <w:r w:rsidRPr="00025BA2">
        <w:rPr>
          <w:rFonts w:ascii="Trebuchet MS" w:hAnsi="Trebuchet MS" w:cs="Calibri"/>
          <w:sz w:val="23"/>
          <w:szCs w:val="23"/>
        </w:rPr>
        <w:t xml:space="preserve"> the vision of the Virginia WIOA </w:t>
      </w:r>
      <w:hyperlink r:id="rId10" w:history="1">
        <w:r w:rsidRPr="00025BA2">
          <w:rPr>
            <w:rStyle w:val="Hyperlink"/>
            <w:rFonts w:ascii="Trebuchet MS" w:hAnsi="Trebuchet MS" w:cs="Calibri"/>
            <w:sz w:val="23"/>
            <w:szCs w:val="23"/>
          </w:rPr>
          <w:t>Combined State Plan</w:t>
        </w:r>
      </w:hyperlink>
      <w:r w:rsidRPr="00025BA2">
        <w:rPr>
          <w:rFonts w:ascii="Trebuchet MS" w:hAnsi="Trebuchet MS" w:cs="Calibri"/>
          <w:sz w:val="23"/>
          <w:szCs w:val="23"/>
        </w:rPr>
        <w:t xml:space="preserve"> is to </w:t>
      </w:r>
      <w:r w:rsidR="005E7A66" w:rsidRPr="00025BA2">
        <w:rPr>
          <w:rFonts w:ascii="Trebuchet MS" w:hAnsi="Trebuchet MS" w:cs="Calibri"/>
          <w:i/>
          <w:sz w:val="23"/>
          <w:szCs w:val="23"/>
        </w:rPr>
        <w:t>“improve economic opportunity for all Virginians by serving those who are not yet earning a sustainable wage and, as important, by focusing the resources and mechanisms of our workforce system to recruit people into the workforce and connecting them to businesses in high demand industries.”</w:t>
      </w:r>
      <w:r w:rsidRPr="00025BA2">
        <w:rPr>
          <w:rFonts w:ascii="Trebuchet MS" w:hAnsi="Trebuchet MS" w:cs="Calibri"/>
          <w:sz w:val="23"/>
          <w:szCs w:val="23"/>
        </w:rPr>
        <w:t xml:space="preserve"> To carry out this vision, the VDOE uses state leadership funds </w:t>
      </w:r>
      <w:r w:rsidR="00584BE2" w:rsidRPr="00025BA2">
        <w:rPr>
          <w:rFonts w:ascii="Trebuchet MS" w:hAnsi="Trebuchet MS" w:cs="Calibri"/>
          <w:sz w:val="23"/>
          <w:szCs w:val="23"/>
        </w:rPr>
        <w:t>to provide</w:t>
      </w:r>
      <w:r w:rsidRPr="00025BA2">
        <w:rPr>
          <w:rFonts w:ascii="Trebuchet MS" w:hAnsi="Trebuchet MS" w:cs="Calibri"/>
          <w:sz w:val="23"/>
          <w:szCs w:val="23"/>
        </w:rPr>
        <w:t xml:space="preserve"> technical assistance, training, advising, and resources to eligible providers </w:t>
      </w:r>
      <w:r w:rsidR="00BD7C0B" w:rsidRPr="00025BA2">
        <w:rPr>
          <w:rFonts w:ascii="Trebuchet MS" w:hAnsi="Trebuchet MS" w:cs="Calibri"/>
          <w:sz w:val="23"/>
          <w:szCs w:val="23"/>
        </w:rPr>
        <w:t xml:space="preserve">for </w:t>
      </w:r>
      <w:r w:rsidRPr="00025BA2">
        <w:rPr>
          <w:rFonts w:ascii="Trebuchet MS" w:hAnsi="Trebuchet MS" w:cs="Calibri"/>
          <w:sz w:val="23"/>
          <w:szCs w:val="23"/>
        </w:rPr>
        <w:t xml:space="preserve">offering career pathways and IET programming to ensure that </w:t>
      </w:r>
      <w:r w:rsidR="00FA7AD6" w:rsidRPr="00025BA2">
        <w:rPr>
          <w:rFonts w:ascii="Trebuchet MS" w:hAnsi="Trebuchet MS" w:cs="Calibri"/>
          <w:sz w:val="23"/>
          <w:szCs w:val="23"/>
        </w:rPr>
        <w:t xml:space="preserve">adult </w:t>
      </w:r>
      <w:r w:rsidRPr="00025BA2">
        <w:rPr>
          <w:rFonts w:ascii="Trebuchet MS" w:hAnsi="Trebuchet MS" w:cs="Calibri"/>
          <w:sz w:val="23"/>
          <w:szCs w:val="23"/>
        </w:rPr>
        <w:t xml:space="preserve">learners have </w:t>
      </w:r>
      <w:r w:rsidR="00A73F63" w:rsidRPr="00025BA2">
        <w:rPr>
          <w:rFonts w:ascii="Trebuchet MS" w:hAnsi="Trebuchet MS" w:cs="Calibri"/>
          <w:sz w:val="23"/>
          <w:szCs w:val="23"/>
        </w:rPr>
        <w:t xml:space="preserve">equitable </w:t>
      </w:r>
      <w:r w:rsidRPr="00025BA2">
        <w:rPr>
          <w:rFonts w:ascii="Trebuchet MS" w:hAnsi="Trebuchet MS" w:cs="Calibri"/>
          <w:sz w:val="23"/>
          <w:szCs w:val="23"/>
        </w:rPr>
        <w:t xml:space="preserve">opportunities to acquire digital literacy skills, employability skills, academic skills, and employment or </w:t>
      </w:r>
      <w:r w:rsidR="00584BE2" w:rsidRPr="00025BA2">
        <w:rPr>
          <w:rFonts w:ascii="Trebuchet MS" w:hAnsi="Trebuchet MS" w:cs="Calibri"/>
          <w:sz w:val="23"/>
          <w:szCs w:val="23"/>
        </w:rPr>
        <w:t>postsecondary education or training</w:t>
      </w:r>
      <w:r w:rsidR="0043288B" w:rsidRPr="00025BA2">
        <w:rPr>
          <w:rFonts w:ascii="Trebuchet MS" w:hAnsi="Trebuchet MS" w:cs="Calibri"/>
          <w:sz w:val="23"/>
          <w:szCs w:val="23"/>
        </w:rPr>
        <w:t>.</w:t>
      </w:r>
      <w:r w:rsidR="00CD696A" w:rsidRPr="00025BA2">
        <w:rPr>
          <w:rFonts w:ascii="Trebuchet MS" w:hAnsi="Trebuchet MS" w:cs="Calibri"/>
          <w:sz w:val="23"/>
          <w:szCs w:val="23"/>
        </w:rPr>
        <w:t xml:space="preserve"> </w:t>
      </w:r>
    </w:p>
    <w:p w14:paraId="388328D6" w14:textId="72254466" w:rsidR="00E5463F" w:rsidRPr="00025BA2" w:rsidRDefault="0056427B" w:rsidP="00E5463F">
      <w:pPr>
        <w:shd w:val="clear" w:color="auto" w:fill="FFFFFF"/>
        <w:rPr>
          <w:rFonts w:ascii="Trebuchet MS" w:hAnsi="Trebuchet MS" w:cs="Calibri"/>
          <w:sz w:val="23"/>
          <w:szCs w:val="23"/>
        </w:rPr>
      </w:pPr>
      <w:r w:rsidRPr="00025BA2">
        <w:rPr>
          <w:rFonts w:ascii="Trebuchet MS" w:hAnsi="Trebuchet MS" w:cs="Calibri"/>
          <w:sz w:val="23"/>
          <w:szCs w:val="23"/>
        </w:rPr>
        <w:t xml:space="preserve">In collaboration with the Department </w:t>
      </w:r>
      <w:r w:rsidR="00005C70" w:rsidRPr="00025BA2">
        <w:rPr>
          <w:rFonts w:ascii="Trebuchet MS" w:hAnsi="Trebuchet MS" w:cs="Calibri"/>
          <w:sz w:val="23"/>
          <w:szCs w:val="23"/>
        </w:rPr>
        <w:t xml:space="preserve">for </w:t>
      </w:r>
      <w:r w:rsidRPr="00025BA2">
        <w:rPr>
          <w:rFonts w:ascii="Trebuchet MS" w:hAnsi="Trebuchet MS" w:cs="Calibri"/>
          <w:sz w:val="23"/>
          <w:szCs w:val="23"/>
        </w:rPr>
        <w:t xml:space="preserve">Aging and Rehabilitative Services (DARS), VALRC </w:t>
      </w:r>
      <w:r w:rsidR="00E5463F" w:rsidRPr="00025BA2">
        <w:rPr>
          <w:rFonts w:ascii="Trebuchet MS" w:hAnsi="Trebuchet MS" w:cs="Calibri"/>
          <w:sz w:val="23"/>
          <w:szCs w:val="23"/>
        </w:rPr>
        <w:t>conducted a</w:t>
      </w:r>
      <w:r w:rsidRPr="00025BA2">
        <w:rPr>
          <w:rFonts w:ascii="Trebuchet MS" w:hAnsi="Trebuchet MS" w:cs="Calibri"/>
          <w:sz w:val="23"/>
          <w:szCs w:val="23"/>
        </w:rPr>
        <w:t xml:space="preserve"> </w:t>
      </w:r>
      <w:r w:rsidR="00E5463F" w:rsidRPr="00025BA2">
        <w:rPr>
          <w:rFonts w:ascii="Trebuchet MS" w:hAnsi="Trebuchet MS" w:cs="Calibri"/>
          <w:i/>
          <w:sz w:val="23"/>
          <w:szCs w:val="23"/>
        </w:rPr>
        <w:t>College and Career Bridge Program</w:t>
      </w:r>
      <w:r w:rsidRPr="00025BA2">
        <w:rPr>
          <w:rFonts w:ascii="Trebuchet MS" w:hAnsi="Trebuchet MS" w:cs="Calibri"/>
          <w:sz w:val="23"/>
          <w:szCs w:val="23"/>
        </w:rPr>
        <w:t xml:space="preserve"> </w:t>
      </w:r>
      <w:r w:rsidR="00E5463F" w:rsidRPr="00025BA2">
        <w:rPr>
          <w:rFonts w:ascii="Trebuchet MS" w:hAnsi="Trebuchet MS" w:cs="Calibri"/>
          <w:sz w:val="23"/>
          <w:szCs w:val="23"/>
        </w:rPr>
        <w:t>for individuals with disabilities</w:t>
      </w:r>
      <w:r w:rsidR="00E5463F" w:rsidRPr="00025BA2">
        <w:rPr>
          <w:rFonts w:ascii="Trebuchet MS" w:hAnsi="Trebuchet MS" w:cs="Calibri"/>
          <w:color w:val="222222"/>
          <w:sz w:val="23"/>
          <w:szCs w:val="23"/>
        </w:rPr>
        <w:t xml:space="preserve"> with </w:t>
      </w:r>
      <w:r w:rsidR="008C2DEA" w:rsidRPr="00025BA2">
        <w:rPr>
          <w:rFonts w:ascii="Trebuchet MS" w:hAnsi="Trebuchet MS" w:cs="Calibri"/>
          <w:color w:val="222222"/>
          <w:sz w:val="23"/>
          <w:szCs w:val="23"/>
        </w:rPr>
        <w:t xml:space="preserve">the </w:t>
      </w:r>
      <w:r w:rsidR="00E5463F" w:rsidRPr="00025BA2">
        <w:rPr>
          <w:rFonts w:ascii="Trebuchet MS" w:hAnsi="Trebuchet MS" w:cs="Calibri"/>
          <w:color w:val="222222"/>
          <w:sz w:val="23"/>
          <w:szCs w:val="23"/>
        </w:rPr>
        <w:t>goal</w:t>
      </w:r>
      <w:r w:rsidR="008C2DEA" w:rsidRPr="00025BA2">
        <w:rPr>
          <w:rFonts w:ascii="Trebuchet MS" w:hAnsi="Trebuchet MS" w:cs="Calibri"/>
          <w:color w:val="222222"/>
          <w:sz w:val="23"/>
          <w:szCs w:val="23"/>
        </w:rPr>
        <w:t>s</w:t>
      </w:r>
      <w:r w:rsidR="00E5463F" w:rsidRPr="00025BA2">
        <w:rPr>
          <w:rFonts w:ascii="Trebuchet MS" w:hAnsi="Trebuchet MS" w:cs="Calibri"/>
          <w:color w:val="222222"/>
          <w:sz w:val="23"/>
          <w:szCs w:val="23"/>
        </w:rPr>
        <w:t xml:space="preserve"> of assisting participants in </w:t>
      </w:r>
      <w:r w:rsidR="008C2DEA" w:rsidRPr="00025BA2">
        <w:rPr>
          <w:rFonts w:ascii="Trebuchet MS" w:hAnsi="Trebuchet MS" w:cs="Calibri"/>
          <w:color w:val="222222"/>
          <w:sz w:val="23"/>
          <w:szCs w:val="23"/>
        </w:rPr>
        <w:t xml:space="preserve">improving their career readiness skills and with the </w:t>
      </w:r>
      <w:r w:rsidR="00E5463F" w:rsidRPr="00025BA2">
        <w:rPr>
          <w:rFonts w:ascii="Trebuchet MS" w:hAnsi="Trebuchet MS" w:cs="Calibri"/>
          <w:color w:val="222222"/>
          <w:sz w:val="23"/>
          <w:szCs w:val="23"/>
        </w:rPr>
        <w:t>transition into their chosen education and training programs at local community college</w:t>
      </w:r>
      <w:r w:rsidR="008C2DEA" w:rsidRPr="00025BA2">
        <w:rPr>
          <w:rFonts w:ascii="Trebuchet MS" w:hAnsi="Trebuchet MS" w:cs="Calibri"/>
          <w:color w:val="222222"/>
          <w:sz w:val="23"/>
          <w:szCs w:val="23"/>
        </w:rPr>
        <w:t>s</w:t>
      </w:r>
      <w:r w:rsidR="00E5463F" w:rsidRPr="00025BA2">
        <w:rPr>
          <w:rFonts w:ascii="Trebuchet MS" w:hAnsi="Trebuchet MS" w:cs="Calibri"/>
          <w:sz w:val="23"/>
          <w:szCs w:val="23"/>
        </w:rPr>
        <w:t xml:space="preserve">. VALRC facilitated </w:t>
      </w:r>
      <w:r w:rsidR="0000346C" w:rsidRPr="00025BA2">
        <w:rPr>
          <w:rFonts w:ascii="Trebuchet MS" w:hAnsi="Trebuchet MS" w:cs="Calibri"/>
          <w:sz w:val="23"/>
          <w:szCs w:val="23"/>
        </w:rPr>
        <w:t xml:space="preserve">a </w:t>
      </w:r>
      <w:r w:rsidR="008F7860" w:rsidRPr="00025BA2">
        <w:rPr>
          <w:rFonts w:ascii="Trebuchet MS" w:hAnsi="Trebuchet MS" w:cs="Calibri"/>
          <w:sz w:val="23"/>
          <w:szCs w:val="23"/>
        </w:rPr>
        <w:t>four-week</w:t>
      </w:r>
      <w:r w:rsidR="0000346C" w:rsidRPr="00025BA2">
        <w:rPr>
          <w:rFonts w:ascii="Trebuchet MS" w:hAnsi="Trebuchet MS" w:cs="Calibri"/>
          <w:sz w:val="23"/>
          <w:szCs w:val="23"/>
        </w:rPr>
        <w:t xml:space="preserve"> virtual </w:t>
      </w:r>
      <w:r w:rsidRPr="00025BA2">
        <w:rPr>
          <w:rFonts w:ascii="Trebuchet MS" w:hAnsi="Trebuchet MS" w:cs="Calibri"/>
          <w:sz w:val="23"/>
          <w:szCs w:val="23"/>
        </w:rPr>
        <w:t>training for instructors</w:t>
      </w:r>
      <w:r w:rsidR="00E5463F" w:rsidRPr="00025BA2">
        <w:rPr>
          <w:rFonts w:ascii="Trebuchet MS" w:hAnsi="Trebuchet MS" w:cs="Calibri"/>
          <w:sz w:val="23"/>
          <w:szCs w:val="23"/>
        </w:rPr>
        <w:t xml:space="preserve"> in the bridge model </w:t>
      </w:r>
      <w:r w:rsidRPr="00025BA2">
        <w:rPr>
          <w:rFonts w:ascii="Trebuchet MS" w:hAnsi="Trebuchet MS" w:cs="Calibri"/>
          <w:sz w:val="23"/>
          <w:szCs w:val="23"/>
        </w:rPr>
        <w:t xml:space="preserve">and continued with </w:t>
      </w:r>
      <w:r w:rsidR="0000346C" w:rsidRPr="00025BA2">
        <w:rPr>
          <w:rFonts w:ascii="Trebuchet MS" w:hAnsi="Trebuchet MS" w:cs="Calibri"/>
          <w:sz w:val="23"/>
          <w:szCs w:val="23"/>
        </w:rPr>
        <w:t xml:space="preserve">weekly </w:t>
      </w:r>
      <w:r w:rsidRPr="00025BA2">
        <w:rPr>
          <w:rFonts w:ascii="Trebuchet MS" w:hAnsi="Trebuchet MS" w:cs="Calibri"/>
          <w:sz w:val="23"/>
          <w:szCs w:val="23"/>
        </w:rPr>
        <w:t>technical assistance throughout course implementation.</w:t>
      </w:r>
      <w:r w:rsidR="00E5463F" w:rsidRPr="00025BA2">
        <w:rPr>
          <w:rFonts w:ascii="Trebuchet MS" w:hAnsi="Trebuchet MS" w:cs="Calibri"/>
          <w:sz w:val="23"/>
          <w:szCs w:val="23"/>
        </w:rPr>
        <w:t xml:space="preserve"> DARS provided recruitment and enrollment services.</w:t>
      </w:r>
      <w:r w:rsidRPr="00025BA2">
        <w:rPr>
          <w:rFonts w:ascii="Trebuchet MS" w:hAnsi="Trebuchet MS" w:cs="Calibri"/>
          <w:sz w:val="23"/>
          <w:szCs w:val="23"/>
        </w:rPr>
        <w:t xml:space="preserve"> </w:t>
      </w:r>
      <w:r w:rsidR="0000346C" w:rsidRPr="00025BA2">
        <w:rPr>
          <w:rFonts w:ascii="Trebuchet MS" w:hAnsi="Trebuchet MS" w:cs="Calibri"/>
          <w:sz w:val="23"/>
          <w:szCs w:val="23"/>
        </w:rPr>
        <w:t xml:space="preserve">VALRC authored a </w:t>
      </w:r>
      <w:hyperlink r:id="rId11" w:anchor="heading=h.jwmrpxbeeap8" w:history="1">
        <w:r w:rsidR="0000346C" w:rsidRPr="00025BA2">
          <w:rPr>
            <w:rStyle w:val="Hyperlink"/>
            <w:rFonts w:ascii="Trebuchet MS" w:hAnsi="Trebuchet MS" w:cs="Calibri"/>
            <w:i/>
            <w:sz w:val="23"/>
            <w:szCs w:val="23"/>
          </w:rPr>
          <w:t>Sustainability Guide for DARS College and Career Bridge Program</w:t>
        </w:r>
      </w:hyperlink>
      <w:r w:rsidR="0000346C" w:rsidRPr="00025BA2">
        <w:rPr>
          <w:rFonts w:ascii="Trebuchet MS" w:hAnsi="Trebuchet MS" w:cs="Calibri"/>
          <w:sz w:val="23"/>
          <w:szCs w:val="23"/>
        </w:rPr>
        <w:t xml:space="preserve"> to summarize lessons learned and recommendations for future implementation. The project was co-presented at two Virginia agency conferences</w:t>
      </w:r>
      <w:r w:rsidR="005E7A66" w:rsidRPr="00025BA2">
        <w:rPr>
          <w:rFonts w:ascii="Trebuchet MS" w:hAnsi="Trebuchet MS" w:cs="Calibri"/>
          <w:sz w:val="23"/>
          <w:szCs w:val="23"/>
        </w:rPr>
        <w:t xml:space="preserve"> and is being replicated and customized in PY2021-2022</w:t>
      </w:r>
      <w:r w:rsidR="0000346C" w:rsidRPr="00025BA2">
        <w:rPr>
          <w:rFonts w:ascii="Trebuchet MS" w:hAnsi="Trebuchet MS" w:cs="Calibri"/>
          <w:sz w:val="23"/>
          <w:szCs w:val="23"/>
        </w:rPr>
        <w:t>.</w:t>
      </w:r>
    </w:p>
    <w:p w14:paraId="2D058883" w14:textId="78DF7550" w:rsidR="00A557DA" w:rsidRPr="00025BA2" w:rsidRDefault="00B30110" w:rsidP="00A557DA">
      <w:pPr>
        <w:spacing w:before="120" w:after="120"/>
        <w:rPr>
          <w:rFonts w:ascii="Trebuchet MS" w:hAnsi="Trebuchet MS" w:cs="Calibri"/>
          <w:bCs/>
          <w:sz w:val="23"/>
          <w:szCs w:val="23"/>
        </w:rPr>
      </w:pPr>
      <w:r w:rsidRPr="00025BA2">
        <w:rPr>
          <w:rFonts w:ascii="Trebuchet MS" w:hAnsi="Trebuchet MS" w:cs="Calibri"/>
          <w:sz w:val="23"/>
          <w:szCs w:val="23"/>
        </w:rPr>
        <w:t>The</w:t>
      </w:r>
      <w:r w:rsidR="00A557DA" w:rsidRPr="00025BA2">
        <w:rPr>
          <w:rFonts w:ascii="Trebuchet MS" w:hAnsi="Trebuchet MS" w:cs="Calibri"/>
          <w:bCs/>
          <w:sz w:val="23"/>
          <w:szCs w:val="23"/>
        </w:rPr>
        <w:t xml:space="preserve"> VALRC continues to support </w:t>
      </w:r>
      <w:r w:rsidR="007A4DE2" w:rsidRPr="00025BA2">
        <w:rPr>
          <w:rFonts w:ascii="Trebuchet MS" w:hAnsi="Trebuchet MS" w:cs="Calibri"/>
          <w:bCs/>
          <w:sz w:val="23"/>
          <w:szCs w:val="23"/>
        </w:rPr>
        <w:t xml:space="preserve">the operationalization of </w:t>
      </w:r>
      <w:r w:rsidR="00A557DA" w:rsidRPr="00025BA2">
        <w:rPr>
          <w:rFonts w:ascii="Trebuchet MS" w:hAnsi="Trebuchet MS" w:cs="Calibri"/>
          <w:bCs/>
          <w:i/>
          <w:sz w:val="23"/>
          <w:szCs w:val="23"/>
        </w:rPr>
        <w:t>Virginia’s Sector Strategies and Career Pathways Academy</w:t>
      </w:r>
      <w:r w:rsidR="00A557DA" w:rsidRPr="00025BA2">
        <w:rPr>
          <w:rFonts w:ascii="Trebuchet MS" w:hAnsi="Trebuchet MS" w:cs="Calibri"/>
          <w:bCs/>
          <w:sz w:val="23"/>
          <w:szCs w:val="23"/>
        </w:rPr>
        <w:t xml:space="preserve"> (SSCPA), an online learning academy for Virginia’s </w:t>
      </w:r>
      <w:r w:rsidR="00516676" w:rsidRPr="00025BA2">
        <w:rPr>
          <w:rFonts w:ascii="Trebuchet MS" w:hAnsi="Trebuchet MS" w:cs="Calibri"/>
          <w:bCs/>
          <w:sz w:val="23"/>
          <w:szCs w:val="23"/>
        </w:rPr>
        <w:t>w</w:t>
      </w:r>
      <w:r w:rsidR="00A557DA" w:rsidRPr="00025BA2">
        <w:rPr>
          <w:rFonts w:ascii="Trebuchet MS" w:hAnsi="Trebuchet MS" w:cs="Calibri"/>
          <w:bCs/>
          <w:sz w:val="23"/>
          <w:szCs w:val="23"/>
        </w:rPr>
        <w:t xml:space="preserve">orkforce </w:t>
      </w:r>
      <w:r w:rsidR="00516676" w:rsidRPr="00025BA2">
        <w:rPr>
          <w:rFonts w:ascii="Trebuchet MS" w:hAnsi="Trebuchet MS" w:cs="Calibri"/>
          <w:bCs/>
          <w:sz w:val="23"/>
          <w:szCs w:val="23"/>
        </w:rPr>
        <w:t>p</w:t>
      </w:r>
      <w:r w:rsidR="00A557DA" w:rsidRPr="00025BA2">
        <w:rPr>
          <w:rFonts w:ascii="Trebuchet MS" w:hAnsi="Trebuchet MS" w:cs="Calibri"/>
          <w:bCs/>
          <w:sz w:val="23"/>
          <w:szCs w:val="23"/>
        </w:rPr>
        <w:t xml:space="preserve">rofessionals </w:t>
      </w:r>
      <w:r w:rsidR="008F7860" w:rsidRPr="00025BA2">
        <w:rPr>
          <w:rFonts w:ascii="Trebuchet MS" w:hAnsi="Trebuchet MS" w:cs="Calibri"/>
          <w:bCs/>
          <w:sz w:val="23"/>
          <w:szCs w:val="23"/>
        </w:rPr>
        <w:t>designed</w:t>
      </w:r>
      <w:r w:rsidR="00A557DA" w:rsidRPr="00025BA2">
        <w:rPr>
          <w:rFonts w:ascii="Trebuchet MS" w:hAnsi="Trebuchet MS" w:cs="Calibri"/>
          <w:bCs/>
          <w:sz w:val="23"/>
          <w:szCs w:val="23"/>
        </w:rPr>
        <w:t xml:space="preserve"> to align education and training programs and strengthen the leadership capacity of workforce system partners and practitioners</w:t>
      </w:r>
      <w:r w:rsidR="0032700B" w:rsidRPr="00025BA2">
        <w:rPr>
          <w:rFonts w:ascii="Trebuchet MS" w:hAnsi="Trebuchet MS" w:cs="Calibri"/>
          <w:bCs/>
          <w:sz w:val="23"/>
          <w:szCs w:val="23"/>
        </w:rPr>
        <w:t xml:space="preserve"> with a goal of incorporating in every Virginia region the integral components of </w:t>
      </w:r>
      <w:r w:rsidR="00A557DA" w:rsidRPr="00025BA2">
        <w:rPr>
          <w:rFonts w:ascii="Trebuchet MS" w:hAnsi="Trebuchet MS" w:cs="Calibri"/>
          <w:bCs/>
          <w:sz w:val="23"/>
          <w:szCs w:val="23"/>
        </w:rPr>
        <w:t>sector partnership and career pathway strategies and thinking</w:t>
      </w:r>
      <w:r w:rsidR="0032700B" w:rsidRPr="00025BA2">
        <w:rPr>
          <w:rFonts w:ascii="Trebuchet MS" w:hAnsi="Trebuchet MS" w:cs="Calibri"/>
          <w:bCs/>
          <w:sz w:val="23"/>
          <w:szCs w:val="23"/>
        </w:rPr>
        <w:t>.</w:t>
      </w:r>
      <w:r w:rsidR="00A557DA" w:rsidRPr="00025BA2">
        <w:rPr>
          <w:rFonts w:ascii="Trebuchet MS" w:hAnsi="Trebuchet MS" w:cs="Calibri"/>
          <w:bCs/>
          <w:sz w:val="23"/>
          <w:szCs w:val="23"/>
        </w:rPr>
        <w:t xml:space="preserve"> </w:t>
      </w:r>
      <w:r w:rsidR="001D412A">
        <w:rPr>
          <w:rFonts w:ascii="Trebuchet MS" w:hAnsi="Trebuchet MS" w:cs="Calibri"/>
          <w:bCs/>
          <w:sz w:val="23"/>
          <w:szCs w:val="23"/>
        </w:rPr>
        <w:t xml:space="preserve">The </w:t>
      </w:r>
      <w:r w:rsidR="00A557DA" w:rsidRPr="00025BA2">
        <w:rPr>
          <w:rFonts w:ascii="Trebuchet MS" w:hAnsi="Trebuchet MS" w:cs="Calibri"/>
          <w:bCs/>
          <w:sz w:val="23"/>
          <w:szCs w:val="23"/>
        </w:rPr>
        <w:lastRenderedPageBreak/>
        <w:t>VALRC’s support include</w:t>
      </w:r>
      <w:r w:rsidR="00516676" w:rsidRPr="00025BA2">
        <w:rPr>
          <w:rFonts w:ascii="Trebuchet MS" w:hAnsi="Trebuchet MS" w:cs="Calibri"/>
          <w:bCs/>
          <w:sz w:val="23"/>
          <w:szCs w:val="23"/>
        </w:rPr>
        <w:t>d</w:t>
      </w:r>
      <w:r w:rsidR="00A557DA" w:rsidRPr="00025BA2">
        <w:rPr>
          <w:rFonts w:ascii="Trebuchet MS" w:hAnsi="Trebuchet MS" w:cs="Calibri"/>
          <w:bCs/>
          <w:sz w:val="23"/>
          <w:szCs w:val="23"/>
        </w:rPr>
        <w:t xml:space="preserve"> serving on the SSCPA advisory committee</w:t>
      </w:r>
      <w:r w:rsidR="007A4DE2" w:rsidRPr="00025BA2">
        <w:rPr>
          <w:rFonts w:ascii="Trebuchet MS" w:hAnsi="Trebuchet MS" w:cs="Calibri"/>
          <w:bCs/>
          <w:sz w:val="23"/>
          <w:szCs w:val="23"/>
        </w:rPr>
        <w:t>, serving on the SSCPA evaluation plan workgroup to provide feedback and input on analyzing behavioral changes and outcomes related to SSCPA participation,</w:t>
      </w:r>
      <w:r w:rsidR="00A557DA" w:rsidRPr="00025BA2">
        <w:rPr>
          <w:rFonts w:ascii="Trebuchet MS" w:hAnsi="Trebuchet MS" w:cs="Calibri"/>
          <w:bCs/>
          <w:sz w:val="23"/>
          <w:szCs w:val="23"/>
        </w:rPr>
        <w:t xml:space="preserve"> and supporting </w:t>
      </w:r>
      <w:r w:rsidR="007A4DE2" w:rsidRPr="00025BA2">
        <w:rPr>
          <w:rFonts w:ascii="Trebuchet MS" w:hAnsi="Trebuchet MS" w:cs="Calibri"/>
          <w:bCs/>
          <w:sz w:val="23"/>
          <w:szCs w:val="23"/>
        </w:rPr>
        <w:t xml:space="preserve">six </w:t>
      </w:r>
      <w:r w:rsidR="00A557DA" w:rsidRPr="00025BA2">
        <w:rPr>
          <w:rFonts w:ascii="Trebuchet MS" w:hAnsi="Trebuchet MS" w:cs="Calibri"/>
          <w:bCs/>
          <w:sz w:val="23"/>
          <w:szCs w:val="23"/>
        </w:rPr>
        <w:t xml:space="preserve">program </w:t>
      </w:r>
      <w:r w:rsidR="007A4DE2" w:rsidRPr="00025BA2">
        <w:rPr>
          <w:rFonts w:ascii="Trebuchet MS" w:hAnsi="Trebuchet MS" w:cs="Calibri"/>
          <w:bCs/>
          <w:sz w:val="23"/>
          <w:szCs w:val="23"/>
        </w:rPr>
        <w:t>managers</w:t>
      </w:r>
      <w:r w:rsidR="00A557DA" w:rsidRPr="00025BA2">
        <w:rPr>
          <w:rFonts w:ascii="Trebuchet MS" w:hAnsi="Trebuchet MS" w:cs="Calibri"/>
          <w:bCs/>
          <w:sz w:val="23"/>
          <w:szCs w:val="23"/>
        </w:rPr>
        <w:t xml:space="preserve"> in their </w:t>
      </w:r>
      <w:r w:rsidR="007A4DE2" w:rsidRPr="00025BA2">
        <w:rPr>
          <w:rFonts w:ascii="Trebuchet MS" w:hAnsi="Trebuchet MS" w:cs="Calibri"/>
          <w:bCs/>
          <w:sz w:val="23"/>
          <w:szCs w:val="23"/>
        </w:rPr>
        <w:t>role</w:t>
      </w:r>
      <w:r w:rsidR="001D412A">
        <w:rPr>
          <w:rFonts w:ascii="Trebuchet MS" w:hAnsi="Trebuchet MS" w:cs="Calibri"/>
          <w:bCs/>
          <w:sz w:val="23"/>
          <w:szCs w:val="23"/>
        </w:rPr>
        <w:t>s</w:t>
      </w:r>
      <w:r w:rsidR="007A4DE2" w:rsidRPr="00025BA2">
        <w:rPr>
          <w:rFonts w:ascii="Trebuchet MS" w:hAnsi="Trebuchet MS" w:cs="Calibri"/>
          <w:bCs/>
          <w:sz w:val="23"/>
          <w:szCs w:val="23"/>
        </w:rPr>
        <w:t xml:space="preserve"> as conveners for regional workgroup</w:t>
      </w:r>
      <w:r w:rsidR="0032700B" w:rsidRPr="00025BA2">
        <w:rPr>
          <w:rFonts w:ascii="Trebuchet MS" w:hAnsi="Trebuchet MS" w:cs="Calibri"/>
          <w:bCs/>
          <w:sz w:val="23"/>
          <w:szCs w:val="23"/>
        </w:rPr>
        <w:t>s</w:t>
      </w:r>
      <w:r w:rsidR="00A557DA" w:rsidRPr="00025BA2">
        <w:rPr>
          <w:rFonts w:ascii="Trebuchet MS" w:hAnsi="Trebuchet MS" w:cs="Calibri"/>
          <w:bCs/>
          <w:sz w:val="23"/>
          <w:szCs w:val="23"/>
        </w:rPr>
        <w:t>. </w:t>
      </w:r>
    </w:p>
    <w:p w14:paraId="7DCA2A6E" w14:textId="562A6068" w:rsidR="00557F9B" w:rsidRPr="00025BA2" w:rsidRDefault="003B3443" w:rsidP="00A557DA">
      <w:pPr>
        <w:spacing w:before="120" w:after="120"/>
        <w:rPr>
          <w:rFonts w:ascii="Trebuchet MS" w:hAnsi="Trebuchet MS" w:cs="Calibri"/>
          <w:bCs/>
          <w:sz w:val="23"/>
          <w:szCs w:val="23"/>
        </w:rPr>
      </w:pPr>
      <w:r w:rsidRPr="00025BA2">
        <w:rPr>
          <w:rFonts w:ascii="Trebuchet MS" w:hAnsi="Trebuchet MS" w:cs="Calibri"/>
          <w:bCs/>
          <w:sz w:val="23"/>
          <w:szCs w:val="23"/>
        </w:rPr>
        <w:t xml:space="preserve">The U.S. </w:t>
      </w:r>
      <w:r w:rsidR="008F7860" w:rsidRPr="00025BA2">
        <w:rPr>
          <w:rFonts w:ascii="Trebuchet MS" w:hAnsi="Trebuchet MS" w:cs="Calibri"/>
          <w:bCs/>
          <w:sz w:val="23"/>
          <w:szCs w:val="23"/>
        </w:rPr>
        <w:t>Department</w:t>
      </w:r>
      <w:r w:rsidRPr="00025BA2">
        <w:rPr>
          <w:rFonts w:ascii="Trebuchet MS" w:hAnsi="Trebuchet MS" w:cs="Calibri"/>
          <w:bCs/>
          <w:sz w:val="23"/>
          <w:szCs w:val="23"/>
        </w:rPr>
        <w:t xml:space="preserve"> of Education’s Office of Career, Technical, and Adult Education (OCTAE) invited Virginia</w:t>
      </w:r>
      <w:r w:rsidR="007A2F06" w:rsidRPr="00025BA2">
        <w:rPr>
          <w:rFonts w:ascii="Trebuchet MS" w:hAnsi="Trebuchet MS" w:cs="Calibri"/>
          <w:bCs/>
          <w:sz w:val="23"/>
          <w:szCs w:val="23"/>
        </w:rPr>
        <w:t xml:space="preserve"> WIOA Combined State Plan p</w:t>
      </w:r>
      <w:r w:rsidR="00B30110" w:rsidRPr="00025BA2">
        <w:rPr>
          <w:rFonts w:ascii="Trebuchet MS" w:hAnsi="Trebuchet MS" w:cs="Calibri"/>
          <w:bCs/>
          <w:sz w:val="23"/>
          <w:szCs w:val="23"/>
        </w:rPr>
        <w:t>artners</w:t>
      </w:r>
      <w:r w:rsidRPr="00025BA2">
        <w:rPr>
          <w:rFonts w:ascii="Trebuchet MS" w:hAnsi="Trebuchet MS" w:cs="Calibri"/>
          <w:bCs/>
          <w:sz w:val="23"/>
          <w:szCs w:val="23"/>
        </w:rPr>
        <w:t xml:space="preserve"> to participate in the pilot of an </w:t>
      </w:r>
      <w:r w:rsidRPr="00025BA2">
        <w:rPr>
          <w:rFonts w:ascii="Trebuchet MS" w:hAnsi="Trebuchet MS" w:cs="Calibri"/>
          <w:bCs/>
          <w:i/>
          <w:sz w:val="23"/>
          <w:szCs w:val="23"/>
        </w:rPr>
        <w:t>IET Design Camp</w:t>
      </w:r>
      <w:r w:rsidRPr="00025BA2">
        <w:rPr>
          <w:rFonts w:ascii="Trebuchet MS" w:hAnsi="Trebuchet MS" w:cs="Calibri"/>
          <w:bCs/>
          <w:sz w:val="23"/>
          <w:szCs w:val="23"/>
        </w:rPr>
        <w:t xml:space="preserve">, part of the </w:t>
      </w:r>
      <w:r w:rsidRPr="00025BA2">
        <w:rPr>
          <w:rFonts w:ascii="Trebuchet MS" w:hAnsi="Trebuchet MS" w:cs="Calibri"/>
          <w:bCs/>
          <w:i/>
          <w:sz w:val="23"/>
          <w:szCs w:val="23"/>
        </w:rPr>
        <w:t>Enhancing IET Opportunities for Adults</w:t>
      </w:r>
      <w:r w:rsidRPr="00025BA2">
        <w:rPr>
          <w:rFonts w:ascii="Trebuchet MS" w:hAnsi="Trebuchet MS" w:cs="Calibri"/>
          <w:bCs/>
          <w:sz w:val="23"/>
          <w:szCs w:val="23"/>
        </w:rPr>
        <w:t xml:space="preserve"> technical assistance project. </w:t>
      </w:r>
      <w:r w:rsidR="001D412A">
        <w:rPr>
          <w:rFonts w:ascii="Trebuchet MS" w:hAnsi="Trebuchet MS" w:cs="Calibri"/>
          <w:bCs/>
          <w:sz w:val="23"/>
          <w:szCs w:val="23"/>
        </w:rPr>
        <w:t xml:space="preserve">The </w:t>
      </w:r>
      <w:r w:rsidRPr="00025BA2">
        <w:rPr>
          <w:rFonts w:ascii="Trebuchet MS" w:hAnsi="Trebuchet MS" w:cs="Calibri"/>
          <w:bCs/>
          <w:sz w:val="23"/>
          <w:szCs w:val="23"/>
        </w:rPr>
        <w:t xml:space="preserve">VDOE and VALRC coordinated with </w:t>
      </w:r>
      <w:r w:rsidR="00B95FF7" w:rsidRPr="00025BA2">
        <w:rPr>
          <w:rFonts w:ascii="Trebuchet MS" w:hAnsi="Trebuchet MS" w:cs="Calibri"/>
          <w:bCs/>
          <w:sz w:val="23"/>
          <w:szCs w:val="23"/>
        </w:rPr>
        <w:t xml:space="preserve">cross-agency teams </w:t>
      </w:r>
      <w:r w:rsidR="0032700B" w:rsidRPr="00025BA2">
        <w:rPr>
          <w:rFonts w:ascii="Trebuchet MS" w:hAnsi="Trebuchet MS" w:cs="Calibri"/>
          <w:bCs/>
          <w:sz w:val="23"/>
          <w:szCs w:val="23"/>
        </w:rPr>
        <w:t xml:space="preserve">that </w:t>
      </w:r>
      <w:r w:rsidR="00B95FF7" w:rsidRPr="00025BA2">
        <w:rPr>
          <w:rFonts w:ascii="Trebuchet MS" w:hAnsi="Trebuchet MS" w:cs="Calibri"/>
          <w:bCs/>
          <w:sz w:val="23"/>
          <w:szCs w:val="23"/>
        </w:rPr>
        <w:t xml:space="preserve">had received </w:t>
      </w:r>
      <w:r w:rsidRPr="00025BA2">
        <w:rPr>
          <w:rFonts w:ascii="Trebuchet MS" w:hAnsi="Trebuchet MS" w:cs="Calibri"/>
          <w:bCs/>
          <w:i/>
          <w:sz w:val="23"/>
          <w:szCs w:val="23"/>
        </w:rPr>
        <w:t>Road to Success in Virginia Program</w:t>
      </w:r>
      <w:r w:rsidRPr="00025BA2">
        <w:rPr>
          <w:rFonts w:ascii="Trebuchet MS" w:hAnsi="Trebuchet MS" w:cs="Calibri"/>
          <w:bCs/>
          <w:sz w:val="23"/>
          <w:szCs w:val="23"/>
        </w:rPr>
        <w:t xml:space="preserve"> (RSVP)</w:t>
      </w:r>
      <w:r w:rsidR="00B95FF7" w:rsidRPr="00025BA2">
        <w:rPr>
          <w:rFonts w:ascii="Trebuchet MS" w:hAnsi="Trebuchet MS" w:cs="Calibri"/>
          <w:bCs/>
          <w:sz w:val="23"/>
          <w:szCs w:val="23"/>
        </w:rPr>
        <w:t>, which is funded through the Department of Social Services,</w:t>
      </w:r>
      <w:r w:rsidRPr="00025BA2">
        <w:rPr>
          <w:rFonts w:ascii="Trebuchet MS" w:hAnsi="Trebuchet MS" w:cs="Calibri"/>
          <w:bCs/>
          <w:sz w:val="23"/>
          <w:szCs w:val="23"/>
        </w:rPr>
        <w:t xml:space="preserve"> </w:t>
      </w:r>
      <w:r w:rsidR="00B95FF7" w:rsidRPr="00025BA2">
        <w:rPr>
          <w:rFonts w:ascii="Trebuchet MS" w:hAnsi="Trebuchet MS" w:cs="Calibri"/>
          <w:bCs/>
          <w:sz w:val="23"/>
          <w:szCs w:val="23"/>
        </w:rPr>
        <w:t>and adult education</w:t>
      </w:r>
      <w:r w:rsidRPr="00025BA2">
        <w:rPr>
          <w:rFonts w:ascii="Trebuchet MS" w:hAnsi="Trebuchet MS" w:cs="Calibri"/>
          <w:bCs/>
          <w:sz w:val="23"/>
          <w:szCs w:val="23"/>
        </w:rPr>
        <w:t xml:space="preserve"> funding</w:t>
      </w:r>
      <w:r w:rsidR="00B30110" w:rsidRPr="00025BA2">
        <w:rPr>
          <w:rFonts w:ascii="Trebuchet MS" w:hAnsi="Trebuchet MS" w:cs="Calibri"/>
          <w:bCs/>
          <w:sz w:val="23"/>
          <w:szCs w:val="23"/>
        </w:rPr>
        <w:t xml:space="preserve"> </w:t>
      </w:r>
      <w:r w:rsidR="00B95FF7" w:rsidRPr="00025BA2">
        <w:rPr>
          <w:rFonts w:ascii="Trebuchet MS" w:hAnsi="Trebuchet MS" w:cs="Calibri"/>
          <w:bCs/>
          <w:sz w:val="23"/>
          <w:szCs w:val="23"/>
        </w:rPr>
        <w:t>to use</w:t>
      </w:r>
      <w:r w:rsidR="00B30110" w:rsidRPr="00025BA2">
        <w:rPr>
          <w:rFonts w:ascii="Trebuchet MS" w:hAnsi="Trebuchet MS" w:cs="Calibri"/>
          <w:bCs/>
          <w:sz w:val="23"/>
          <w:szCs w:val="23"/>
        </w:rPr>
        <w:t xml:space="preserve"> the IET program model</w:t>
      </w:r>
      <w:r w:rsidRPr="00025BA2">
        <w:rPr>
          <w:rFonts w:ascii="Trebuchet MS" w:hAnsi="Trebuchet MS" w:cs="Calibri"/>
          <w:bCs/>
          <w:sz w:val="23"/>
          <w:szCs w:val="23"/>
        </w:rPr>
        <w:t xml:space="preserve">. </w:t>
      </w:r>
      <w:r w:rsidR="001D412A">
        <w:rPr>
          <w:rFonts w:ascii="Trebuchet MS" w:hAnsi="Trebuchet MS" w:cs="Calibri"/>
          <w:bCs/>
          <w:sz w:val="23"/>
          <w:szCs w:val="23"/>
        </w:rPr>
        <w:t xml:space="preserve">The </w:t>
      </w:r>
      <w:r w:rsidRPr="00025BA2">
        <w:rPr>
          <w:rFonts w:ascii="Trebuchet MS" w:hAnsi="Trebuchet MS" w:cs="Calibri"/>
          <w:bCs/>
          <w:sz w:val="23"/>
          <w:szCs w:val="23"/>
        </w:rPr>
        <w:t xml:space="preserve">VALRC </w:t>
      </w:r>
      <w:r w:rsidR="00557F9B" w:rsidRPr="00025BA2">
        <w:rPr>
          <w:rFonts w:ascii="Trebuchet MS" w:hAnsi="Trebuchet MS" w:cs="Calibri"/>
          <w:bCs/>
          <w:sz w:val="23"/>
          <w:szCs w:val="23"/>
        </w:rPr>
        <w:t xml:space="preserve">held individual team meetings throughout October and provided ongoing technical </w:t>
      </w:r>
      <w:r w:rsidRPr="00025BA2">
        <w:rPr>
          <w:rFonts w:ascii="Trebuchet MS" w:hAnsi="Trebuchet MS" w:cs="Calibri"/>
          <w:bCs/>
          <w:sz w:val="23"/>
          <w:szCs w:val="23"/>
        </w:rPr>
        <w:t>assistance as programs formalized an action plan for IET implementation.</w:t>
      </w:r>
    </w:p>
    <w:p w14:paraId="02C737BA" w14:textId="6D316A88" w:rsidR="00E537FE" w:rsidRPr="00025BA2" w:rsidRDefault="00E537FE" w:rsidP="00471583">
      <w:pPr>
        <w:spacing w:before="120" w:after="120"/>
        <w:rPr>
          <w:rFonts w:ascii="Trebuchet MS" w:hAnsi="Trebuchet MS" w:cs="Calibri"/>
          <w:sz w:val="23"/>
          <w:szCs w:val="23"/>
        </w:rPr>
      </w:pPr>
      <w:r w:rsidRPr="00025BA2">
        <w:rPr>
          <w:rFonts w:ascii="Trebuchet MS" w:hAnsi="Trebuchet MS" w:cs="Calibri"/>
          <w:sz w:val="23"/>
          <w:szCs w:val="23"/>
        </w:rPr>
        <w:t>In support of the requirement</w:t>
      </w:r>
      <w:r w:rsidR="007C1355" w:rsidRPr="00025BA2">
        <w:rPr>
          <w:rFonts w:ascii="Trebuchet MS" w:hAnsi="Trebuchet MS" w:cs="Calibri"/>
          <w:sz w:val="23"/>
          <w:szCs w:val="23"/>
        </w:rPr>
        <w:t xml:space="preserve"> in</w:t>
      </w:r>
      <w:r w:rsidRPr="00025BA2">
        <w:rPr>
          <w:rFonts w:ascii="Trebuchet MS" w:hAnsi="Trebuchet MS" w:cs="Calibri"/>
          <w:sz w:val="23"/>
          <w:szCs w:val="23"/>
        </w:rPr>
        <w:t xml:space="preserve"> </w:t>
      </w:r>
      <w:r w:rsidRPr="00025BA2">
        <w:rPr>
          <w:rFonts w:ascii="Trebuchet MS" w:hAnsi="Trebuchet MS" w:cs="Calibri"/>
          <w:b/>
          <w:sz w:val="23"/>
          <w:szCs w:val="23"/>
        </w:rPr>
        <w:t>Sec. 223(1)(</w:t>
      </w:r>
      <w:r w:rsidR="00A038D4" w:rsidRPr="00025BA2">
        <w:rPr>
          <w:rFonts w:ascii="Trebuchet MS" w:hAnsi="Trebuchet MS" w:cs="Calibri"/>
          <w:b/>
          <w:sz w:val="23"/>
          <w:szCs w:val="23"/>
        </w:rPr>
        <w:t>b</w:t>
      </w:r>
      <w:r w:rsidRPr="00025BA2">
        <w:rPr>
          <w:rFonts w:ascii="Trebuchet MS" w:hAnsi="Trebuchet MS" w:cs="Calibri"/>
          <w:b/>
          <w:sz w:val="23"/>
          <w:szCs w:val="23"/>
        </w:rPr>
        <w:t xml:space="preserve">), the establishment or operation of high-quality professional development </w:t>
      </w:r>
      <w:r w:rsidR="002B61E5" w:rsidRPr="00025BA2">
        <w:rPr>
          <w:rFonts w:ascii="Trebuchet MS" w:hAnsi="Trebuchet MS" w:cs="Calibri"/>
          <w:b/>
          <w:sz w:val="23"/>
          <w:szCs w:val="23"/>
        </w:rPr>
        <w:t xml:space="preserve">(PD) </w:t>
      </w:r>
      <w:r w:rsidRPr="00025BA2">
        <w:rPr>
          <w:rFonts w:ascii="Trebuchet MS" w:hAnsi="Trebuchet MS" w:cs="Calibri"/>
          <w:b/>
          <w:sz w:val="23"/>
          <w:szCs w:val="23"/>
        </w:rPr>
        <w:t>programs,</w:t>
      </w:r>
      <w:r w:rsidRPr="00025BA2">
        <w:rPr>
          <w:rFonts w:ascii="Trebuchet MS" w:hAnsi="Trebuchet MS" w:cs="Calibri"/>
          <w:sz w:val="23"/>
          <w:szCs w:val="23"/>
        </w:rPr>
        <w:t xml:space="preserve"> the vision of the VDOE is for the continuous improvement of instruction in adult education and literacy and support </w:t>
      </w:r>
      <w:r w:rsidR="007C1355" w:rsidRPr="00025BA2">
        <w:rPr>
          <w:rFonts w:ascii="Trebuchet MS" w:hAnsi="Trebuchet MS" w:cs="Calibri"/>
          <w:sz w:val="23"/>
          <w:szCs w:val="23"/>
        </w:rPr>
        <w:t xml:space="preserve">for </w:t>
      </w:r>
      <w:r w:rsidRPr="00025BA2">
        <w:rPr>
          <w:rFonts w:ascii="Trebuchet MS" w:hAnsi="Trebuchet MS" w:cs="Calibri"/>
          <w:sz w:val="23"/>
          <w:szCs w:val="23"/>
        </w:rPr>
        <w:t xml:space="preserve">practitioners in all roles to provide high-quality programming and instruction. </w:t>
      </w:r>
      <w:r w:rsidR="009A2ECD" w:rsidRPr="00025BA2">
        <w:rPr>
          <w:rFonts w:ascii="Trebuchet MS" w:hAnsi="Trebuchet MS" w:cs="Calibri"/>
          <w:sz w:val="23"/>
          <w:szCs w:val="23"/>
        </w:rPr>
        <w:t xml:space="preserve">The </w:t>
      </w:r>
      <w:r w:rsidRPr="00025BA2">
        <w:rPr>
          <w:rFonts w:ascii="Trebuchet MS" w:hAnsi="Trebuchet MS" w:cs="Calibri"/>
          <w:sz w:val="23"/>
          <w:szCs w:val="23"/>
        </w:rPr>
        <w:t xml:space="preserve">VDOE, through its cooperative agreement with VALRC, supports both required and permissible state leadership activities as part of a high-quality </w:t>
      </w:r>
      <w:r w:rsidR="002B61E5" w:rsidRPr="00025BA2">
        <w:rPr>
          <w:rFonts w:ascii="Trebuchet MS" w:hAnsi="Trebuchet MS" w:cs="Calibri"/>
          <w:sz w:val="23"/>
          <w:szCs w:val="23"/>
        </w:rPr>
        <w:t>PD</w:t>
      </w:r>
      <w:r w:rsidRPr="00025BA2">
        <w:rPr>
          <w:rFonts w:ascii="Trebuchet MS" w:hAnsi="Trebuchet MS" w:cs="Calibri"/>
          <w:sz w:val="23"/>
          <w:szCs w:val="23"/>
        </w:rPr>
        <w:t xml:space="preserve"> program. </w:t>
      </w:r>
    </w:p>
    <w:p w14:paraId="666A58B1" w14:textId="54ECA464" w:rsidR="00546001" w:rsidRPr="00025BA2" w:rsidRDefault="0043288B" w:rsidP="007A2F06">
      <w:pPr>
        <w:spacing w:before="120" w:after="120"/>
        <w:rPr>
          <w:rFonts w:ascii="Trebuchet MS" w:hAnsi="Trebuchet MS" w:cs="Calibri"/>
          <w:sz w:val="23"/>
          <w:szCs w:val="23"/>
        </w:rPr>
      </w:pPr>
      <w:r w:rsidRPr="00025BA2">
        <w:rPr>
          <w:rFonts w:ascii="Trebuchet MS" w:hAnsi="Trebuchet MS" w:cs="Calibri"/>
          <w:sz w:val="23"/>
          <w:szCs w:val="23"/>
        </w:rPr>
        <w:t xml:space="preserve">Historically, </w:t>
      </w:r>
      <w:r w:rsidR="00B62060">
        <w:rPr>
          <w:rFonts w:ascii="Trebuchet MS" w:hAnsi="Trebuchet MS" w:cs="Calibri"/>
          <w:sz w:val="23"/>
          <w:szCs w:val="23"/>
        </w:rPr>
        <w:t>PD</w:t>
      </w:r>
      <w:r w:rsidRPr="00025BA2">
        <w:rPr>
          <w:rFonts w:ascii="Trebuchet MS" w:hAnsi="Trebuchet MS" w:cs="Calibri"/>
          <w:sz w:val="23"/>
          <w:szCs w:val="23"/>
        </w:rPr>
        <w:t xml:space="preserve"> is disseminated through webinars and virtual events, facilitated online courses, facilitated professional learning communities (PLCs), self-paced online modules and tutorials, </w:t>
      </w:r>
      <w:r w:rsidR="007C1355" w:rsidRPr="00025BA2">
        <w:rPr>
          <w:rFonts w:ascii="Trebuchet MS" w:hAnsi="Trebuchet MS" w:cs="Calibri"/>
          <w:sz w:val="23"/>
          <w:szCs w:val="23"/>
        </w:rPr>
        <w:t xml:space="preserve">and </w:t>
      </w:r>
      <w:r w:rsidRPr="00025BA2">
        <w:rPr>
          <w:rFonts w:ascii="Trebuchet MS" w:hAnsi="Trebuchet MS" w:cs="Calibri"/>
          <w:sz w:val="23"/>
          <w:szCs w:val="23"/>
        </w:rPr>
        <w:t>face-to-face training. Virtual modalities dominated during the pandemic</w:t>
      </w:r>
      <w:r w:rsidR="00067F78" w:rsidRPr="00025BA2">
        <w:rPr>
          <w:rFonts w:ascii="Trebuchet MS" w:hAnsi="Trebuchet MS" w:cs="Calibri"/>
          <w:sz w:val="23"/>
          <w:szCs w:val="23"/>
        </w:rPr>
        <w:t xml:space="preserve"> when time and convenience were a commodity</w:t>
      </w:r>
      <w:r w:rsidR="000702D3" w:rsidRPr="00025BA2">
        <w:rPr>
          <w:rFonts w:ascii="Trebuchet MS" w:hAnsi="Trebuchet MS" w:cs="Calibri"/>
          <w:sz w:val="23"/>
          <w:szCs w:val="23"/>
        </w:rPr>
        <w:t xml:space="preserve">; </w:t>
      </w:r>
      <w:r w:rsidRPr="00025BA2">
        <w:rPr>
          <w:rFonts w:ascii="Trebuchet MS" w:hAnsi="Trebuchet MS" w:cs="Calibri"/>
          <w:sz w:val="23"/>
          <w:szCs w:val="23"/>
        </w:rPr>
        <w:t>PLCs</w:t>
      </w:r>
      <w:r w:rsidR="004B33DA" w:rsidRPr="00025BA2">
        <w:rPr>
          <w:rFonts w:ascii="Trebuchet MS" w:hAnsi="Trebuchet MS" w:cs="Calibri"/>
          <w:sz w:val="23"/>
          <w:szCs w:val="23"/>
        </w:rPr>
        <w:t xml:space="preserve"> and</w:t>
      </w:r>
      <w:r w:rsidR="00067F78" w:rsidRPr="00025BA2">
        <w:rPr>
          <w:rFonts w:ascii="Trebuchet MS" w:hAnsi="Trebuchet MS" w:cs="Calibri"/>
          <w:sz w:val="23"/>
          <w:szCs w:val="23"/>
        </w:rPr>
        <w:t xml:space="preserve"> virtual </w:t>
      </w:r>
      <w:r w:rsidR="0048250E" w:rsidRPr="00025BA2">
        <w:rPr>
          <w:rFonts w:ascii="Trebuchet MS" w:hAnsi="Trebuchet MS" w:cs="Calibri"/>
          <w:i/>
          <w:sz w:val="23"/>
          <w:szCs w:val="23"/>
        </w:rPr>
        <w:t>Data Office H</w:t>
      </w:r>
      <w:r w:rsidR="007C1355" w:rsidRPr="00025BA2">
        <w:rPr>
          <w:rFonts w:ascii="Trebuchet MS" w:hAnsi="Trebuchet MS" w:cs="Calibri"/>
          <w:i/>
          <w:sz w:val="23"/>
          <w:szCs w:val="23"/>
        </w:rPr>
        <w:t>ours</w:t>
      </w:r>
      <w:r w:rsidR="007C1355" w:rsidRPr="00025BA2">
        <w:rPr>
          <w:rFonts w:ascii="Trebuchet MS" w:hAnsi="Trebuchet MS" w:cs="Calibri"/>
          <w:sz w:val="23"/>
          <w:szCs w:val="23"/>
        </w:rPr>
        <w:t xml:space="preserve"> </w:t>
      </w:r>
      <w:r w:rsidRPr="00025BA2">
        <w:rPr>
          <w:rFonts w:ascii="Trebuchet MS" w:hAnsi="Trebuchet MS" w:cs="Calibri"/>
          <w:sz w:val="23"/>
          <w:szCs w:val="23"/>
        </w:rPr>
        <w:t xml:space="preserve">became </w:t>
      </w:r>
      <w:r w:rsidR="00067F78" w:rsidRPr="00025BA2">
        <w:rPr>
          <w:rFonts w:ascii="Trebuchet MS" w:hAnsi="Trebuchet MS" w:cs="Calibri"/>
          <w:sz w:val="23"/>
          <w:szCs w:val="23"/>
        </w:rPr>
        <w:t>the</w:t>
      </w:r>
      <w:r w:rsidRPr="00025BA2">
        <w:rPr>
          <w:rFonts w:ascii="Trebuchet MS" w:hAnsi="Trebuchet MS" w:cs="Calibri"/>
          <w:sz w:val="23"/>
          <w:szCs w:val="23"/>
        </w:rPr>
        <w:t xml:space="preserve"> preferred option</w:t>
      </w:r>
      <w:r w:rsidR="004B33DA" w:rsidRPr="00025BA2">
        <w:rPr>
          <w:rFonts w:ascii="Trebuchet MS" w:hAnsi="Trebuchet MS" w:cs="Calibri"/>
          <w:sz w:val="23"/>
          <w:szCs w:val="23"/>
        </w:rPr>
        <w:t>s</w:t>
      </w:r>
      <w:r w:rsidRPr="00025BA2">
        <w:rPr>
          <w:rFonts w:ascii="Trebuchet MS" w:hAnsi="Trebuchet MS" w:cs="Calibri"/>
          <w:sz w:val="23"/>
          <w:szCs w:val="23"/>
        </w:rPr>
        <w:t xml:space="preserve"> </w:t>
      </w:r>
      <w:r w:rsidR="004B33DA" w:rsidRPr="00025BA2">
        <w:rPr>
          <w:rFonts w:ascii="Trebuchet MS" w:hAnsi="Trebuchet MS" w:cs="Calibri"/>
          <w:sz w:val="23"/>
          <w:szCs w:val="23"/>
        </w:rPr>
        <w:t xml:space="preserve">for providing </w:t>
      </w:r>
      <w:r w:rsidRPr="00025BA2">
        <w:rPr>
          <w:rFonts w:ascii="Trebuchet MS" w:hAnsi="Trebuchet MS" w:cs="Calibri"/>
          <w:sz w:val="23"/>
          <w:szCs w:val="23"/>
        </w:rPr>
        <w:t xml:space="preserve">topic </w:t>
      </w:r>
      <w:r w:rsidR="00067F78" w:rsidRPr="00025BA2">
        <w:rPr>
          <w:rFonts w:ascii="Trebuchet MS" w:hAnsi="Trebuchet MS" w:cs="Calibri"/>
          <w:sz w:val="23"/>
          <w:szCs w:val="23"/>
        </w:rPr>
        <w:t xml:space="preserve">specific knowledge and </w:t>
      </w:r>
      <w:r w:rsidR="008F7860" w:rsidRPr="00025BA2">
        <w:rPr>
          <w:rFonts w:ascii="Trebuchet MS" w:hAnsi="Trebuchet MS" w:cs="Calibri"/>
          <w:sz w:val="23"/>
          <w:szCs w:val="23"/>
        </w:rPr>
        <w:t>strategy</w:t>
      </w:r>
      <w:r w:rsidR="00067F78" w:rsidRPr="00025BA2">
        <w:rPr>
          <w:rFonts w:ascii="Trebuchet MS" w:hAnsi="Trebuchet MS" w:cs="Calibri"/>
          <w:sz w:val="23"/>
          <w:szCs w:val="23"/>
        </w:rPr>
        <w:t xml:space="preserve"> </w:t>
      </w:r>
      <w:r w:rsidRPr="00025BA2">
        <w:rPr>
          <w:rFonts w:ascii="Trebuchet MS" w:hAnsi="Trebuchet MS" w:cs="Calibri"/>
          <w:sz w:val="23"/>
          <w:szCs w:val="23"/>
        </w:rPr>
        <w:t xml:space="preserve">dissemination and social interaction need. </w:t>
      </w:r>
      <w:r w:rsidR="007534FA" w:rsidRPr="00025BA2">
        <w:rPr>
          <w:rFonts w:ascii="Trebuchet MS" w:hAnsi="Trebuchet MS" w:cs="Calibri"/>
          <w:sz w:val="23"/>
          <w:szCs w:val="23"/>
        </w:rPr>
        <w:t>Despite the pandemic</w:t>
      </w:r>
      <w:r w:rsidR="002627F8" w:rsidRPr="00025BA2">
        <w:rPr>
          <w:rFonts w:ascii="Trebuchet MS" w:hAnsi="Trebuchet MS" w:cs="Calibri"/>
          <w:sz w:val="23"/>
          <w:szCs w:val="23"/>
        </w:rPr>
        <w:t xml:space="preserve">’s impact on </w:t>
      </w:r>
      <w:r w:rsidR="005D6CEC" w:rsidRPr="00025BA2">
        <w:rPr>
          <w:rFonts w:ascii="Trebuchet MS" w:hAnsi="Trebuchet MS" w:cs="Calibri"/>
          <w:sz w:val="23"/>
          <w:szCs w:val="23"/>
        </w:rPr>
        <w:t xml:space="preserve">class size, class offerings, and </w:t>
      </w:r>
      <w:r w:rsidR="004B33DA" w:rsidRPr="00025BA2">
        <w:rPr>
          <w:rFonts w:ascii="Trebuchet MS" w:hAnsi="Trebuchet MS" w:cs="Calibri"/>
          <w:sz w:val="23"/>
          <w:szCs w:val="23"/>
        </w:rPr>
        <w:t xml:space="preserve">the </w:t>
      </w:r>
      <w:r w:rsidR="005D6CEC" w:rsidRPr="00025BA2">
        <w:rPr>
          <w:rFonts w:ascii="Trebuchet MS" w:hAnsi="Trebuchet MS" w:cs="Calibri"/>
          <w:sz w:val="23"/>
          <w:szCs w:val="23"/>
        </w:rPr>
        <w:t>pivot to virtual modalities</w:t>
      </w:r>
      <w:r w:rsidR="007534FA" w:rsidRPr="00025BA2">
        <w:rPr>
          <w:rFonts w:ascii="Trebuchet MS" w:hAnsi="Trebuchet MS" w:cs="Calibri"/>
          <w:sz w:val="23"/>
          <w:szCs w:val="23"/>
        </w:rPr>
        <w:t xml:space="preserve">, </w:t>
      </w:r>
      <w:r w:rsidR="0048250E" w:rsidRPr="00025BA2">
        <w:rPr>
          <w:rFonts w:ascii="Trebuchet MS" w:hAnsi="Trebuchet MS" w:cs="Calibri"/>
          <w:sz w:val="23"/>
          <w:szCs w:val="23"/>
        </w:rPr>
        <w:t xml:space="preserve">in </w:t>
      </w:r>
      <w:r w:rsidR="0053663A" w:rsidRPr="00025BA2">
        <w:rPr>
          <w:rFonts w:ascii="Trebuchet MS" w:hAnsi="Trebuchet MS" w:cs="Calibri"/>
          <w:sz w:val="23"/>
          <w:szCs w:val="23"/>
        </w:rPr>
        <w:t>PY</w:t>
      </w:r>
      <w:r w:rsidR="007534FA" w:rsidRPr="00025BA2">
        <w:rPr>
          <w:rFonts w:ascii="Trebuchet MS" w:hAnsi="Trebuchet MS" w:cs="Calibri"/>
          <w:sz w:val="23"/>
          <w:szCs w:val="23"/>
        </w:rPr>
        <w:t>2020-</w:t>
      </w:r>
      <w:r w:rsidR="0053663A" w:rsidRPr="00025BA2">
        <w:rPr>
          <w:rFonts w:ascii="Trebuchet MS" w:hAnsi="Trebuchet MS" w:cs="Calibri"/>
          <w:sz w:val="23"/>
          <w:szCs w:val="23"/>
        </w:rPr>
        <w:t>20</w:t>
      </w:r>
      <w:r w:rsidR="007534FA" w:rsidRPr="00025BA2">
        <w:rPr>
          <w:rFonts w:ascii="Trebuchet MS" w:hAnsi="Trebuchet MS" w:cs="Calibri"/>
          <w:sz w:val="23"/>
          <w:szCs w:val="23"/>
        </w:rPr>
        <w:t>21</w:t>
      </w:r>
      <w:r w:rsidR="0048250E" w:rsidRPr="00025BA2">
        <w:rPr>
          <w:rFonts w:ascii="Trebuchet MS" w:hAnsi="Trebuchet MS" w:cs="Calibri"/>
          <w:sz w:val="23"/>
          <w:szCs w:val="23"/>
        </w:rPr>
        <w:t>,</w:t>
      </w:r>
      <w:r w:rsidR="007534FA" w:rsidRPr="00025BA2">
        <w:rPr>
          <w:rFonts w:ascii="Trebuchet MS" w:hAnsi="Trebuchet MS" w:cs="Calibri"/>
          <w:sz w:val="23"/>
          <w:szCs w:val="23"/>
        </w:rPr>
        <w:t xml:space="preserve"> VALRC provided 116 </w:t>
      </w:r>
      <w:r w:rsidR="008606C4" w:rsidRPr="00025BA2">
        <w:rPr>
          <w:rFonts w:ascii="Trebuchet MS" w:hAnsi="Trebuchet MS" w:cs="Calibri"/>
          <w:sz w:val="23"/>
          <w:szCs w:val="23"/>
        </w:rPr>
        <w:t xml:space="preserve">PD and technical assistance </w:t>
      </w:r>
      <w:r w:rsidR="007534FA" w:rsidRPr="00025BA2">
        <w:rPr>
          <w:rFonts w:ascii="Trebuchet MS" w:hAnsi="Trebuchet MS" w:cs="Calibri"/>
          <w:sz w:val="23"/>
          <w:szCs w:val="23"/>
        </w:rPr>
        <w:t>events (a 16% increase over the previous year)</w:t>
      </w:r>
      <w:r w:rsidR="0048250E" w:rsidRPr="00025BA2">
        <w:rPr>
          <w:rFonts w:ascii="Trebuchet MS" w:hAnsi="Trebuchet MS" w:cs="Calibri"/>
          <w:sz w:val="23"/>
          <w:szCs w:val="23"/>
        </w:rPr>
        <w:t>,</w:t>
      </w:r>
      <w:r w:rsidR="007534FA" w:rsidRPr="00025BA2">
        <w:rPr>
          <w:rFonts w:ascii="Trebuchet MS" w:hAnsi="Trebuchet MS" w:cs="Calibri"/>
          <w:sz w:val="23"/>
          <w:szCs w:val="23"/>
        </w:rPr>
        <w:t xml:space="preserve"> over 518 event hours to 3,550 participants (a 17% increase over the previous year). </w:t>
      </w:r>
      <w:r w:rsidR="00B11135" w:rsidRPr="00025BA2">
        <w:rPr>
          <w:rFonts w:ascii="Trebuchet MS" w:hAnsi="Trebuchet MS" w:cs="Calibri"/>
          <w:sz w:val="23"/>
          <w:szCs w:val="23"/>
        </w:rPr>
        <w:t xml:space="preserve">PLCs and virtual office hours comprised </w:t>
      </w:r>
      <w:r w:rsidR="00EA30A0" w:rsidRPr="00025BA2">
        <w:rPr>
          <w:rFonts w:ascii="Trebuchet MS" w:hAnsi="Trebuchet MS" w:cs="Calibri"/>
          <w:sz w:val="23"/>
          <w:szCs w:val="23"/>
        </w:rPr>
        <w:t>75</w:t>
      </w:r>
      <w:r w:rsidR="00B11135" w:rsidRPr="00025BA2">
        <w:rPr>
          <w:rFonts w:ascii="Trebuchet MS" w:hAnsi="Trebuchet MS" w:cs="Calibri"/>
          <w:sz w:val="23"/>
          <w:szCs w:val="23"/>
        </w:rPr>
        <w:t>% of the</w:t>
      </w:r>
      <w:r w:rsidR="008606C4" w:rsidRPr="00025BA2">
        <w:rPr>
          <w:rFonts w:ascii="Trebuchet MS" w:hAnsi="Trebuchet MS" w:cs="Calibri"/>
          <w:sz w:val="23"/>
          <w:szCs w:val="23"/>
        </w:rPr>
        <w:t xml:space="preserve"> total</w:t>
      </w:r>
      <w:r w:rsidR="00B11135" w:rsidRPr="00025BA2">
        <w:rPr>
          <w:rFonts w:ascii="Trebuchet MS" w:hAnsi="Trebuchet MS" w:cs="Calibri"/>
          <w:sz w:val="23"/>
          <w:szCs w:val="23"/>
        </w:rPr>
        <w:t xml:space="preserve"> events and </w:t>
      </w:r>
      <w:r w:rsidR="008606C4" w:rsidRPr="00025BA2">
        <w:rPr>
          <w:rFonts w:ascii="Trebuchet MS" w:hAnsi="Trebuchet MS" w:cs="Calibri"/>
          <w:sz w:val="23"/>
          <w:szCs w:val="23"/>
        </w:rPr>
        <w:t>41</w:t>
      </w:r>
      <w:r w:rsidR="00B11135" w:rsidRPr="00025BA2">
        <w:rPr>
          <w:rFonts w:ascii="Trebuchet MS" w:hAnsi="Trebuchet MS" w:cs="Calibri"/>
          <w:sz w:val="23"/>
          <w:szCs w:val="23"/>
        </w:rPr>
        <w:t xml:space="preserve">% of the </w:t>
      </w:r>
      <w:r w:rsidR="008606C4" w:rsidRPr="00025BA2">
        <w:rPr>
          <w:rFonts w:ascii="Trebuchet MS" w:hAnsi="Trebuchet MS" w:cs="Calibri"/>
          <w:sz w:val="23"/>
          <w:szCs w:val="23"/>
        </w:rPr>
        <w:t xml:space="preserve">total </w:t>
      </w:r>
      <w:r w:rsidR="00B11135" w:rsidRPr="00025BA2">
        <w:rPr>
          <w:rFonts w:ascii="Trebuchet MS" w:hAnsi="Trebuchet MS" w:cs="Calibri"/>
          <w:sz w:val="23"/>
          <w:szCs w:val="23"/>
        </w:rPr>
        <w:t xml:space="preserve">participants. </w:t>
      </w:r>
      <w:r w:rsidR="008606C4" w:rsidRPr="00025BA2">
        <w:rPr>
          <w:rFonts w:ascii="Trebuchet MS" w:hAnsi="Trebuchet MS" w:cs="Calibri"/>
          <w:sz w:val="23"/>
          <w:szCs w:val="23"/>
        </w:rPr>
        <w:t xml:space="preserve">Open office hours for distance education were born of </w:t>
      </w:r>
      <w:r w:rsidR="005D6CEC" w:rsidRPr="00025BA2">
        <w:rPr>
          <w:rFonts w:ascii="Trebuchet MS" w:hAnsi="Trebuchet MS" w:cs="Calibri"/>
          <w:sz w:val="23"/>
          <w:szCs w:val="23"/>
        </w:rPr>
        <w:t xml:space="preserve">the </w:t>
      </w:r>
      <w:r w:rsidR="008606C4" w:rsidRPr="00025BA2">
        <w:rPr>
          <w:rFonts w:ascii="Trebuchet MS" w:hAnsi="Trebuchet MS" w:cs="Calibri"/>
          <w:sz w:val="23"/>
          <w:szCs w:val="23"/>
        </w:rPr>
        <w:t xml:space="preserve">intense spring 2020 weekly meetings and focused on priority topics identified through </w:t>
      </w:r>
      <w:r w:rsidR="0048250E" w:rsidRPr="00025BA2">
        <w:rPr>
          <w:rFonts w:ascii="Trebuchet MS" w:hAnsi="Trebuchet MS" w:cs="Calibri"/>
          <w:sz w:val="23"/>
          <w:szCs w:val="23"/>
        </w:rPr>
        <w:t xml:space="preserve">field </w:t>
      </w:r>
      <w:r w:rsidR="008606C4" w:rsidRPr="00025BA2">
        <w:rPr>
          <w:rFonts w:ascii="Trebuchet MS" w:hAnsi="Trebuchet MS" w:cs="Calibri"/>
          <w:sz w:val="23"/>
          <w:szCs w:val="23"/>
        </w:rPr>
        <w:t>poll</w:t>
      </w:r>
      <w:r w:rsidR="0048250E" w:rsidRPr="00025BA2">
        <w:rPr>
          <w:rFonts w:ascii="Trebuchet MS" w:hAnsi="Trebuchet MS" w:cs="Calibri"/>
          <w:sz w:val="23"/>
          <w:szCs w:val="23"/>
        </w:rPr>
        <w:t xml:space="preserve">s. Twenty two </w:t>
      </w:r>
      <w:r w:rsidR="008606C4" w:rsidRPr="00025BA2">
        <w:rPr>
          <w:rFonts w:ascii="Trebuchet MS" w:hAnsi="Trebuchet MS" w:cs="Calibri"/>
          <w:sz w:val="23"/>
          <w:szCs w:val="23"/>
        </w:rPr>
        <w:t xml:space="preserve">bi-monthly </w:t>
      </w:r>
      <w:r w:rsidR="00B62060" w:rsidRPr="003B0A0B">
        <w:rPr>
          <w:rFonts w:ascii="Trebuchet MS" w:hAnsi="Trebuchet MS" w:cs="Calibri"/>
          <w:i/>
          <w:sz w:val="23"/>
          <w:szCs w:val="23"/>
        </w:rPr>
        <w:t xml:space="preserve">Data </w:t>
      </w:r>
      <w:r w:rsidR="0048250E" w:rsidRPr="003B0A0B">
        <w:rPr>
          <w:rFonts w:ascii="Trebuchet MS" w:hAnsi="Trebuchet MS" w:cs="Calibri"/>
          <w:i/>
          <w:sz w:val="23"/>
          <w:szCs w:val="23"/>
        </w:rPr>
        <w:t>Office Hours</w:t>
      </w:r>
      <w:r w:rsidR="0048250E" w:rsidRPr="00025BA2">
        <w:rPr>
          <w:rFonts w:ascii="Trebuchet MS" w:hAnsi="Trebuchet MS" w:cs="Calibri"/>
          <w:sz w:val="23"/>
          <w:szCs w:val="23"/>
        </w:rPr>
        <w:t xml:space="preserve"> virtual meetings</w:t>
      </w:r>
      <w:r w:rsidR="008606C4" w:rsidRPr="00025BA2">
        <w:rPr>
          <w:rFonts w:ascii="Trebuchet MS" w:hAnsi="Trebuchet MS" w:cs="Calibri"/>
          <w:sz w:val="23"/>
          <w:szCs w:val="23"/>
        </w:rPr>
        <w:t xml:space="preserve"> provided support to data specialists and administrators</w:t>
      </w:r>
      <w:r w:rsidR="0048250E" w:rsidRPr="00025BA2">
        <w:rPr>
          <w:rFonts w:ascii="Trebuchet MS" w:hAnsi="Trebuchet MS" w:cs="Calibri"/>
          <w:sz w:val="23"/>
          <w:szCs w:val="23"/>
        </w:rPr>
        <w:t xml:space="preserve">, </w:t>
      </w:r>
      <w:r w:rsidR="008606C4" w:rsidRPr="00025BA2">
        <w:rPr>
          <w:rFonts w:ascii="Trebuchet MS" w:hAnsi="Trebuchet MS" w:cs="Calibri"/>
          <w:sz w:val="23"/>
          <w:szCs w:val="23"/>
        </w:rPr>
        <w:t xml:space="preserve">and a math instructor online support group was </w:t>
      </w:r>
      <w:r w:rsidR="005F7006">
        <w:rPr>
          <w:rFonts w:ascii="Trebuchet MS" w:hAnsi="Trebuchet MS" w:cs="Calibri"/>
          <w:sz w:val="23"/>
          <w:szCs w:val="23"/>
        </w:rPr>
        <w:t>created</w:t>
      </w:r>
      <w:r w:rsidR="005F7006" w:rsidRPr="00025BA2">
        <w:rPr>
          <w:rFonts w:ascii="Trebuchet MS" w:hAnsi="Trebuchet MS" w:cs="Calibri"/>
          <w:sz w:val="23"/>
          <w:szCs w:val="23"/>
        </w:rPr>
        <w:t xml:space="preserve"> </w:t>
      </w:r>
      <w:r w:rsidR="002627F8" w:rsidRPr="00025BA2">
        <w:rPr>
          <w:rFonts w:ascii="Trebuchet MS" w:hAnsi="Trebuchet MS" w:cs="Calibri"/>
          <w:sz w:val="23"/>
          <w:szCs w:val="23"/>
        </w:rPr>
        <w:t>as a result of reviewing GED</w:t>
      </w:r>
      <w:r w:rsidR="002627F8" w:rsidRPr="00A95D5D">
        <w:rPr>
          <w:rFonts w:ascii="Trebuchet MS" w:hAnsi="Trebuchet MS" w:cs="Calibri"/>
          <w:sz w:val="23"/>
          <w:szCs w:val="23"/>
          <w:vertAlign w:val="superscript"/>
        </w:rPr>
        <w:t>®</w:t>
      </w:r>
      <w:r w:rsidR="002627F8" w:rsidRPr="00025BA2">
        <w:rPr>
          <w:rFonts w:ascii="Trebuchet MS" w:hAnsi="Trebuchet MS" w:cs="Calibri"/>
          <w:sz w:val="23"/>
          <w:szCs w:val="23"/>
        </w:rPr>
        <w:t xml:space="preserve"> pass</w:t>
      </w:r>
      <w:r w:rsidR="0048250E" w:rsidRPr="00025BA2">
        <w:rPr>
          <w:rFonts w:ascii="Trebuchet MS" w:hAnsi="Trebuchet MS" w:cs="Calibri"/>
          <w:sz w:val="23"/>
          <w:szCs w:val="23"/>
        </w:rPr>
        <w:t>-</w:t>
      </w:r>
      <w:r w:rsidR="002627F8" w:rsidRPr="00025BA2">
        <w:rPr>
          <w:rFonts w:ascii="Trebuchet MS" w:hAnsi="Trebuchet MS" w:cs="Calibri"/>
          <w:sz w:val="23"/>
          <w:szCs w:val="23"/>
        </w:rPr>
        <w:t>rate data</w:t>
      </w:r>
      <w:r w:rsidR="00C32BC4" w:rsidRPr="00025BA2">
        <w:rPr>
          <w:rFonts w:ascii="Trebuchet MS" w:hAnsi="Trebuchet MS" w:cs="Calibri"/>
          <w:sz w:val="23"/>
          <w:szCs w:val="23"/>
        </w:rPr>
        <w:t xml:space="preserve">, which revealed </w:t>
      </w:r>
      <w:r w:rsidR="00B30110" w:rsidRPr="00025BA2">
        <w:rPr>
          <w:rFonts w:ascii="Trebuchet MS" w:hAnsi="Trebuchet MS" w:cs="Calibri"/>
          <w:sz w:val="23"/>
          <w:szCs w:val="23"/>
        </w:rPr>
        <w:t>that math remains the subtest with the lowest completion rate</w:t>
      </w:r>
      <w:r w:rsidR="002627F8" w:rsidRPr="00025BA2">
        <w:rPr>
          <w:rFonts w:ascii="Trebuchet MS" w:hAnsi="Trebuchet MS" w:cs="Calibri"/>
          <w:sz w:val="23"/>
          <w:szCs w:val="23"/>
        </w:rPr>
        <w:t xml:space="preserve">. </w:t>
      </w:r>
      <w:r w:rsidR="00C5194C" w:rsidRPr="00025BA2">
        <w:rPr>
          <w:rFonts w:ascii="Trebuchet MS" w:hAnsi="Trebuchet MS" w:cs="Calibri"/>
          <w:sz w:val="23"/>
          <w:szCs w:val="23"/>
        </w:rPr>
        <w:t xml:space="preserve">VALRC curated a new </w:t>
      </w:r>
      <w:hyperlink r:id="rId12" w:history="1">
        <w:r w:rsidR="00C5194C" w:rsidRPr="00025BA2">
          <w:rPr>
            <w:rStyle w:val="Hyperlink"/>
            <w:rFonts w:ascii="Trebuchet MS" w:hAnsi="Trebuchet MS" w:cs="Calibri"/>
            <w:sz w:val="23"/>
            <w:szCs w:val="23"/>
          </w:rPr>
          <w:t>remote learning resource bank</w:t>
        </w:r>
      </w:hyperlink>
      <w:r w:rsidR="00C5194C" w:rsidRPr="00025BA2">
        <w:rPr>
          <w:rFonts w:ascii="Trebuchet MS" w:hAnsi="Trebuchet MS" w:cs="Calibri"/>
          <w:sz w:val="23"/>
          <w:szCs w:val="23"/>
        </w:rPr>
        <w:t xml:space="preserve"> for adult education programs. Each section of the resource bank includes links to the tools’ websites as well as additional resources for implementation, instructional use, and student use.</w:t>
      </w:r>
    </w:p>
    <w:p w14:paraId="5D49C3FD" w14:textId="71D76221" w:rsidR="00D34FB9" w:rsidRPr="00025BA2" w:rsidRDefault="00530C65" w:rsidP="00D34FB9">
      <w:pPr>
        <w:spacing w:before="120" w:after="120"/>
        <w:rPr>
          <w:rFonts w:ascii="Trebuchet MS" w:hAnsi="Trebuchet MS" w:cs="Calibri"/>
          <w:sz w:val="23"/>
          <w:szCs w:val="23"/>
        </w:rPr>
      </w:pPr>
      <w:r w:rsidRPr="00025BA2">
        <w:rPr>
          <w:rFonts w:ascii="Trebuchet MS" w:hAnsi="Trebuchet MS" w:cs="Calibri"/>
          <w:sz w:val="23"/>
          <w:szCs w:val="23"/>
        </w:rPr>
        <w:t>In support of the VDOE Ed</w:t>
      </w:r>
      <w:r w:rsidR="00B95FF7" w:rsidRPr="00025BA2">
        <w:rPr>
          <w:rFonts w:ascii="Trebuchet MS" w:hAnsi="Trebuchet MS" w:cs="Calibri"/>
          <w:sz w:val="23"/>
          <w:szCs w:val="23"/>
        </w:rPr>
        <w:t>ucational</w:t>
      </w:r>
      <w:r w:rsidRPr="00025BA2">
        <w:rPr>
          <w:rFonts w:ascii="Trebuchet MS" w:hAnsi="Trebuchet MS" w:cs="Calibri"/>
          <w:sz w:val="23"/>
          <w:szCs w:val="23"/>
        </w:rPr>
        <w:t xml:space="preserve"> Equity </w:t>
      </w:r>
      <w:r w:rsidRPr="00582F0E">
        <w:rPr>
          <w:rFonts w:ascii="Trebuchet MS" w:hAnsi="Trebuchet MS" w:cs="Calibri"/>
          <w:sz w:val="23"/>
          <w:szCs w:val="23"/>
        </w:rPr>
        <w:t>priorities,</w:t>
      </w:r>
      <w:r w:rsidRPr="00025BA2">
        <w:rPr>
          <w:rFonts w:ascii="Trebuchet MS" w:hAnsi="Trebuchet MS" w:cs="Calibri"/>
          <w:sz w:val="23"/>
          <w:szCs w:val="23"/>
        </w:rPr>
        <w:t xml:space="preserve"> </w:t>
      </w:r>
      <w:proofErr w:type="gramStart"/>
      <w:r w:rsidRPr="00025BA2">
        <w:rPr>
          <w:rFonts w:ascii="Trebuchet MS" w:hAnsi="Trebuchet MS" w:cs="Calibri"/>
          <w:sz w:val="23"/>
          <w:szCs w:val="23"/>
        </w:rPr>
        <w:t>t</w:t>
      </w:r>
      <w:r w:rsidR="00D34FB9" w:rsidRPr="00025BA2">
        <w:rPr>
          <w:rFonts w:ascii="Trebuchet MS" w:hAnsi="Trebuchet MS" w:cs="Calibri"/>
          <w:sz w:val="23"/>
          <w:szCs w:val="23"/>
        </w:rPr>
        <w:t>raining</w:t>
      </w:r>
      <w:proofErr w:type="gramEnd"/>
      <w:r w:rsidR="00D34FB9" w:rsidRPr="00025BA2">
        <w:rPr>
          <w:rFonts w:ascii="Trebuchet MS" w:hAnsi="Trebuchet MS" w:cs="Calibri"/>
          <w:sz w:val="23"/>
          <w:szCs w:val="23"/>
        </w:rPr>
        <w:t xml:space="preserve"> and resources to integrate culturally responsive and inclusive practices into instruction</w:t>
      </w:r>
      <w:r w:rsidR="00C32BC4" w:rsidRPr="00025BA2">
        <w:rPr>
          <w:rFonts w:ascii="Trebuchet MS" w:hAnsi="Trebuchet MS" w:cs="Calibri"/>
          <w:sz w:val="23"/>
          <w:szCs w:val="23"/>
        </w:rPr>
        <w:t xml:space="preserve"> were developed</w:t>
      </w:r>
      <w:r w:rsidR="00E64DDD" w:rsidRPr="00025BA2">
        <w:rPr>
          <w:rFonts w:ascii="Trebuchet MS" w:hAnsi="Trebuchet MS" w:cs="Calibri"/>
          <w:sz w:val="23"/>
          <w:szCs w:val="23"/>
        </w:rPr>
        <w:t xml:space="preserve"> and dis</w:t>
      </w:r>
      <w:r w:rsidR="00C32BC4" w:rsidRPr="00025BA2">
        <w:rPr>
          <w:rFonts w:ascii="Trebuchet MS" w:hAnsi="Trebuchet MS" w:cs="Calibri"/>
          <w:sz w:val="23"/>
          <w:szCs w:val="23"/>
        </w:rPr>
        <w:t>s</w:t>
      </w:r>
      <w:r w:rsidR="00E64DDD" w:rsidRPr="00025BA2">
        <w:rPr>
          <w:rFonts w:ascii="Trebuchet MS" w:hAnsi="Trebuchet MS" w:cs="Calibri"/>
          <w:sz w:val="23"/>
          <w:szCs w:val="23"/>
        </w:rPr>
        <w:t>e</w:t>
      </w:r>
      <w:r w:rsidR="00C32BC4" w:rsidRPr="00025BA2">
        <w:rPr>
          <w:rFonts w:ascii="Trebuchet MS" w:hAnsi="Trebuchet MS" w:cs="Calibri"/>
          <w:sz w:val="23"/>
          <w:szCs w:val="23"/>
        </w:rPr>
        <w:t xml:space="preserve">minated.  </w:t>
      </w:r>
      <w:r w:rsidR="00D34FB9" w:rsidRPr="00025BA2">
        <w:rPr>
          <w:rFonts w:ascii="Trebuchet MS" w:hAnsi="Trebuchet MS" w:cs="Calibri"/>
          <w:sz w:val="23"/>
          <w:szCs w:val="23"/>
        </w:rPr>
        <w:t xml:space="preserve">These artifacts were integrated into VALRC’s </w:t>
      </w:r>
      <w:r w:rsidR="00D34FB9" w:rsidRPr="00025BA2">
        <w:rPr>
          <w:rFonts w:ascii="Trebuchet MS" w:hAnsi="Trebuchet MS" w:cs="Calibri"/>
          <w:i/>
          <w:sz w:val="23"/>
          <w:szCs w:val="23"/>
        </w:rPr>
        <w:t>Meaning Skills and Print Skills</w:t>
      </w:r>
      <w:r w:rsidR="00D34FB9" w:rsidRPr="00025BA2">
        <w:rPr>
          <w:rFonts w:ascii="Trebuchet MS" w:hAnsi="Trebuchet MS" w:cs="Calibri"/>
          <w:sz w:val="23"/>
          <w:szCs w:val="23"/>
        </w:rPr>
        <w:t xml:space="preserve"> online reading courses, the online </w:t>
      </w:r>
      <w:r w:rsidR="00D34FB9" w:rsidRPr="00025BA2">
        <w:rPr>
          <w:rFonts w:ascii="Trebuchet MS" w:hAnsi="Trebuchet MS" w:cs="Calibri"/>
          <w:i/>
          <w:sz w:val="23"/>
          <w:szCs w:val="23"/>
        </w:rPr>
        <w:t>ESOL Beginning Literacy</w:t>
      </w:r>
      <w:r w:rsidR="00D34FB9" w:rsidRPr="00025BA2">
        <w:rPr>
          <w:rFonts w:ascii="Trebuchet MS" w:hAnsi="Trebuchet MS" w:cs="Calibri"/>
          <w:sz w:val="23"/>
          <w:szCs w:val="23"/>
        </w:rPr>
        <w:t xml:space="preserve"> </w:t>
      </w:r>
      <w:r w:rsidR="00516676" w:rsidRPr="00025BA2">
        <w:rPr>
          <w:rFonts w:ascii="Trebuchet MS" w:hAnsi="Trebuchet MS" w:cs="Calibri"/>
          <w:sz w:val="23"/>
          <w:szCs w:val="23"/>
        </w:rPr>
        <w:t>c</w:t>
      </w:r>
      <w:r w:rsidR="00D34FB9" w:rsidRPr="00025BA2">
        <w:rPr>
          <w:rFonts w:ascii="Trebuchet MS" w:hAnsi="Trebuchet MS" w:cs="Calibri"/>
          <w:sz w:val="23"/>
          <w:szCs w:val="23"/>
        </w:rPr>
        <w:t xml:space="preserve">ourse, and the </w:t>
      </w:r>
      <w:r w:rsidR="00C32BC4" w:rsidRPr="00025BA2">
        <w:rPr>
          <w:rFonts w:ascii="Trebuchet MS" w:hAnsi="Trebuchet MS" w:cs="Calibri"/>
          <w:i/>
          <w:sz w:val="23"/>
          <w:szCs w:val="23"/>
        </w:rPr>
        <w:t>New T</w:t>
      </w:r>
      <w:r w:rsidR="00D34FB9" w:rsidRPr="00025BA2">
        <w:rPr>
          <w:rFonts w:ascii="Trebuchet MS" w:hAnsi="Trebuchet MS" w:cs="Calibri"/>
          <w:i/>
          <w:sz w:val="23"/>
          <w:szCs w:val="23"/>
        </w:rPr>
        <w:t xml:space="preserve">eacher </w:t>
      </w:r>
      <w:r w:rsidR="00C32BC4" w:rsidRPr="00025BA2">
        <w:rPr>
          <w:rFonts w:ascii="Trebuchet MS" w:hAnsi="Trebuchet MS" w:cs="Calibri"/>
          <w:i/>
          <w:sz w:val="23"/>
          <w:szCs w:val="23"/>
        </w:rPr>
        <w:t>Foundations C</w:t>
      </w:r>
      <w:r w:rsidR="00D34FB9" w:rsidRPr="00025BA2">
        <w:rPr>
          <w:rFonts w:ascii="Trebuchet MS" w:hAnsi="Trebuchet MS" w:cs="Calibri"/>
          <w:i/>
          <w:sz w:val="23"/>
          <w:szCs w:val="23"/>
        </w:rPr>
        <w:t>hecklist</w:t>
      </w:r>
      <w:r w:rsidR="00D34FB9" w:rsidRPr="00025BA2">
        <w:rPr>
          <w:rFonts w:ascii="Trebuchet MS" w:hAnsi="Trebuchet MS" w:cs="Calibri"/>
          <w:sz w:val="23"/>
          <w:szCs w:val="23"/>
        </w:rPr>
        <w:t xml:space="preserve">. The </w:t>
      </w:r>
      <w:hyperlink r:id="rId13" w:history="1">
        <w:r w:rsidR="00D34FB9" w:rsidRPr="00025BA2">
          <w:rPr>
            <w:rStyle w:val="Hyperlink"/>
            <w:rFonts w:ascii="Trebuchet MS" w:hAnsi="Trebuchet MS" w:cs="Calibri"/>
            <w:sz w:val="23"/>
            <w:szCs w:val="23"/>
          </w:rPr>
          <w:t>Accessibility and Inclusion</w:t>
        </w:r>
      </w:hyperlink>
      <w:r w:rsidR="00D34FB9" w:rsidRPr="00025BA2">
        <w:rPr>
          <w:rFonts w:ascii="Trebuchet MS" w:hAnsi="Trebuchet MS" w:cs="Calibri"/>
          <w:sz w:val="23"/>
          <w:szCs w:val="23"/>
        </w:rPr>
        <w:t xml:space="preserve"> resource page was added to VALRC’s website</w:t>
      </w:r>
      <w:r w:rsidR="00C32BC4" w:rsidRPr="00025BA2">
        <w:rPr>
          <w:rFonts w:ascii="Trebuchet MS" w:hAnsi="Trebuchet MS" w:cs="Calibri"/>
          <w:sz w:val="23"/>
          <w:szCs w:val="23"/>
        </w:rPr>
        <w:t xml:space="preserve">, and an </w:t>
      </w:r>
      <w:r w:rsidR="00D34FB9" w:rsidRPr="00025BA2">
        <w:rPr>
          <w:rFonts w:ascii="Trebuchet MS" w:hAnsi="Trebuchet MS" w:cs="Calibri"/>
          <w:sz w:val="23"/>
          <w:szCs w:val="23"/>
        </w:rPr>
        <w:t xml:space="preserve">updated </w:t>
      </w:r>
      <w:r w:rsidR="00DE2FE6">
        <w:rPr>
          <w:rFonts w:ascii="Trebuchet MS" w:hAnsi="Trebuchet MS" w:cs="Calibri"/>
          <w:sz w:val="23"/>
          <w:szCs w:val="23"/>
        </w:rPr>
        <w:t>“</w:t>
      </w:r>
      <w:r w:rsidR="00D34FB9" w:rsidRPr="003B0A0B">
        <w:rPr>
          <w:rFonts w:ascii="Trebuchet MS" w:hAnsi="Trebuchet MS" w:cs="Calibri"/>
          <w:sz w:val="23"/>
          <w:szCs w:val="23"/>
        </w:rPr>
        <w:t>508 Accessibility and Universal Design for Learning</w:t>
      </w:r>
      <w:r w:rsidR="00DE2FE6">
        <w:rPr>
          <w:rFonts w:ascii="Trebuchet MS" w:hAnsi="Trebuchet MS" w:cs="Calibri"/>
          <w:sz w:val="23"/>
          <w:szCs w:val="23"/>
        </w:rPr>
        <w:t>”</w:t>
      </w:r>
      <w:r w:rsidR="00D34FB9" w:rsidRPr="00025BA2">
        <w:rPr>
          <w:rFonts w:ascii="Trebuchet MS" w:hAnsi="Trebuchet MS" w:cs="Calibri"/>
          <w:sz w:val="23"/>
          <w:szCs w:val="23"/>
        </w:rPr>
        <w:t xml:space="preserve"> tip sheets and a template to be used when developing online courses </w:t>
      </w:r>
      <w:r w:rsidR="00C32BC4" w:rsidRPr="00025BA2">
        <w:rPr>
          <w:rFonts w:ascii="Trebuchet MS" w:hAnsi="Trebuchet MS" w:cs="Calibri"/>
          <w:sz w:val="23"/>
          <w:szCs w:val="23"/>
        </w:rPr>
        <w:t>were</w:t>
      </w:r>
      <w:r w:rsidR="00D34FB9" w:rsidRPr="00025BA2">
        <w:rPr>
          <w:rFonts w:ascii="Trebuchet MS" w:hAnsi="Trebuchet MS" w:cs="Calibri"/>
          <w:sz w:val="23"/>
          <w:szCs w:val="23"/>
        </w:rPr>
        <w:t xml:space="preserve"> integrated into the </w:t>
      </w:r>
      <w:r w:rsidR="00D34FB9" w:rsidRPr="00025BA2">
        <w:rPr>
          <w:rFonts w:ascii="Trebuchet MS" w:hAnsi="Trebuchet MS" w:cs="Calibri"/>
          <w:i/>
          <w:sz w:val="23"/>
          <w:szCs w:val="23"/>
        </w:rPr>
        <w:t>Quality Teaching Online</w:t>
      </w:r>
      <w:r w:rsidR="00D34FB9" w:rsidRPr="00025BA2">
        <w:rPr>
          <w:rFonts w:ascii="Trebuchet MS" w:hAnsi="Trebuchet MS" w:cs="Calibri"/>
          <w:sz w:val="23"/>
          <w:szCs w:val="23"/>
        </w:rPr>
        <w:t xml:space="preserve"> course documents.</w:t>
      </w:r>
    </w:p>
    <w:p w14:paraId="40CAD3F4" w14:textId="17369766" w:rsidR="003B3151" w:rsidRPr="00025BA2" w:rsidRDefault="00827CEA" w:rsidP="003B3151">
      <w:pPr>
        <w:spacing w:before="120" w:after="120"/>
        <w:rPr>
          <w:rFonts w:ascii="Trebuchet MS" w:hAnsi="Trebuchet MS" w:cs="Calibri"/>
          <w:sz w:val="23"/>
          <w:szCs w:val="23"/>
        </w:rPr>
      </w:pPr>
      <w:r w:rsidRPr="00025BA2">
        <w:rPr>
          <w:rFonts w:ascii="Trebuchet MS" w:hAnsi="Trebuchet MS" w:cs="Calibri"/>
          <w:sz w:val="23"/>
          <w:szCs w:val="23"/>
        </w:rPr>
        <w:t>Online p</w:t>
      </w:r>
      <w:r w:rsidR="002627F8" w:rsidRPr="00025BA2">
        <w:rPr>
          <w:rFonts w:ascii="Trebuchet MS" w:hAnsi="Trebuchet MS" w:cs="Calibri"/>
          <w:sz w:val="23"/>
          <w:szCs w:val="23"/>
        </w:rPr>
        <w:t xml:space="preserve">rofessional learning communities were formed </w:t>
      </w:r>
      <w:r w:rsidR="005D6CEC" w:rsidRPr="00025BA2">
        <w:rPr>
          <w:rFonts w:ascii="Trebuchet MS" w:hAnsi="Trebuchet MS" w:cs="Calibri"/>
          <w:sz w:val="23"/>
          <w:szCs w:val="23"/>
        </w:rPr>
        <w:t>for</w:t>
      </w:r>
      <w:r w:rsidR="002627F8" w:rsidRPr="00025BA2">
        <w:rPr>
          <w:rFonts w:ascii="Trebuchet MS" w:hAnsi="Trebuchet MS" w:cs="Calibri"/>
          <w:sz w:val="23"/>
          <w:szCs w:val="23"/>
        </w:rPr>
        <w:t xml:space="preserve"> </w:t>
      </w:r>
      <w:r w:rsidR="002627F8" w:rsidRPr="003B0A0B">
        <w:rPr>
          <w:rFonts w:ascii="Trebuchet MS" w:hAnsi="Trebuchet MS" w:cs="Calibri"/>
          <w:sz w:val="23"/>
          <w:szCs w:val="23"/>
        </w:rPr>
        <w:t>N</w:t>
      </w:r>
      <w:r w:rsidR="005D6CEC" w:rsidRPr="003B0A0B">
        <w:rPr>
          <w:rFonts w:ascii="Trebuchet MS" w:hAnsi="Trebuchet MS" w:cs="Calibri"/>
          <w:sz w:val="23"/>
          <w:szCs w:val="23"/>
        </w:rPr>
        <w:t xml:space="preserve">ational </w:t>
      </w:r>
      <w:r w:rsidR="002627F8" w:rsidRPr="003B0A0B">
        <w:rPr>
          <w:rFonts w:ascii="Trebuchet MS" w:hAnsi="Trebuchet MS" w:cs="Calibri"/>
          <w:sz w:val="23"/>
          <w:szCs w:val="23"/>
        </w:rPr>
        <w:t>E</w:t>
      </w:r>
      <w:r w:rsidR="005D6CEC" w:rsidRPr="003B0A0B">
        <w:rPr>
          <w:rFonts w:ascii="Trebuchet MS" w:hAnsi="Trebuchet MS" w:cs="Calibri"/>
          <w:sz w:val="23"/>
          <w:szCs w:val="23"/>
        </w:rPr>
        <w:t xml:space="preserve">xternal </w:t>
      </w:r>
      <w:r w:rsidR="002627F8" w:rsidRPr="003B0A0B">
        <w:rPr>
          <w:rFonts w:ascii="Trebuchet MS" w:hAnsi="Trebuchet MS" w:cs="Calibri"/>
          <w:sz w:val="23"/>
          <w:szCs w:val="23"/>
        </w:rPr>
        <w:t>D</w:t>
      </w:r>
      <w:r w:rsidR="005D6CEC" w:rsidRPr="003B0A0B">
        <w:rPr>
          <w:rFonts w:ascii="Trebuchet MS" w:hAnsi="Trebuchet MS" w:cs="Calibri"/>
          <w:sz w:val="23"/>
          <w:szCs w:val="23"/>
        </w:rPr>
        <w:t xml:space="preserve">iploma </w:t>
      </w:r>
      <w:r w:rsidR="002627F8" w:rsidRPr="003B0A0B">
        <w:rPr>
          <w:rFonts w:ascii="Trebuchet MS" w:hAnsi="Trebuchet MS" w:cs="Calibri"/>
          <w:sz w:val="23"/>
          <w:szCs w:val="23"/>
        </w:rPr>
        <w:t>P</w:t>
      </w:r>
      <w:r w:rsidR="005D6CEC" w:rsidRPr="003B0A0B">
        <w:rPr>
          <w:rFonts w:ascii="Trebuchet MS" w:hAnsi="Trebuchet MS" w:cs="Calibri"/>
          <w:sz w:val="23"/>
          <w:szCs w:val="23"/>
        </w:rPr>
        <w:t>rogram</w:t>
      </w:r>
      <w:r w:rsidR="005D6CEC" w:rsidRPr="00025BA2">
        <w:rPr>
          <w:rFonts w:ascii="Trebuchet MS" w:hAnsi="Trebuchet MS" w:cs="Calibri"/>
          <w:sz w:val="23"/>
          <w:szCs w:val="23"/>
        </w:rPr>
        <w:t xml:space="preserve"> (NEDP) assessors</w:t>
      </w:r>
      <w:r w:rsidR="002627F8" w:rsidRPr="00025BA2">
        <w:rPr>
          <w:rFonts w:ascii="Trebuchet MS" w:hAnsi="Trebuchet MS" w:cs="Calibri"/>
          <w:sz w:val="23"/>
          <w:szCs w:val="23"/>
        </w:rPr>
        <w:t xml:space="preserve">, </w:t>
      </w:r>
      <w:r w:rsidR="002627F8" w:rsidRPr="003B0A0B">
        <w:rPr>
          <w:rFonts w:ascii="Trebuchet MS" w:hAnsi="Trebuchet MS" w:cs="Calibri"/>
          <w:sz w:val="23"/>
          <w:szCs w:val="23"/>
        </w:rPr>
        <w:t>T</w:t>
      </w:r>
      <w:r w:rsidR="005D6CEC" w:rsidRPr="003B0A0B">
        <w:rPr>
          <w:rFonts w:ascii="Trebuchet MS" w:hAnsi="Trebuchet MS" w:cs="Calibri"/>
          <w:sz w:val="23"/>
          <w:szCs w:val="23"/>
        </w:rPr>
        <w:t xml:space="preserve">eaching </w:t>
      </w:r>
      <w:r w:rsidR="002627F8" w:rsidRPr="003B0A0B">
        <w:rPr>
          <w:rFonts w:ascii="Trebuchet MS" w:hAnsi="Trebuchet MS" w:cs="Calibri"/>
          <w:sz w:val="23"/>
          <w:szCs w:val="23"/>
        </w:rPr>
        <w:t>S</w:t>
      </w:r>
      <w:r w:rsidR="005D6CEC" w:rsidRPr="003B0A0B">
        <w:rPr>
          <w:rFonts w:ascii="Trebuchet MS" w:hAnsi="Trebuchet MS" w:cs="Calibri"/>
          <w:sz w:val="23"/>
          <w:szCs w:val="23"/>
        </w:rPr>
        <w:t xml:space="preserve">kills </w:t>
      </w:r>
      <w:r w:rsidR="002627F8" w:rsidRPr="003B0A0B">
        <w:rPr>
          <w:rFonts w:ascii="Trebuchet MS" w:hAnsi="Trebuchet MS" w:cs="Calibri"/>
          <w:sz w:val="23"/>
          <w:szCs w:val="23"/>
        </w:rPr>
        <w:t>t</w:t>
      </w:r>
      <w:r w:rsidR="005D6CEC" w:rsidRPr="003B0A0B">
        <w:rPr>
          <w:rFonts w:ascii="Trebuchet MS" w:hAnsi="Trebuchet MS" w:cs="Calibri"/>
          <w:sz w:val="23"/>
          <w:szCs w:val="23"/>
        </w:rPr>
        <w:t xml:space="preserve">hat </w:t>
      </w:r>
      <w:r w:rsidR="002627F8" w:rsidRPr="003B0A0B">
        <w:rPr>
          <w:rFonts w:ascii="Trebuchet MS" w:hAnsi="Trebuchet MS" w:cs="Calibri"/>
          <w:sz w:val="23"/>
          <w:szCs w:val="23"/>
        </w:rPr>
        <w:t>M</w:t>
      </w:r>
      <w:r w:rsidR="005D6CEC" w:rsidRPr="003B0A0B">
        <w:rPr>
          <w:rFonts w:ascii="Trebuchet MS" w:hAnsi="Trebuchet MS" w:cs="Calibri"/>
          <w:sz w:val="23"/>
          <w:szCs w:val="23"/>
        </w:rPr>
        <w:t>atter</w:t>
      </w:r>
      <w:r w:rsidR="005D6CEC" w:rsidRPr="00025BA2">
        <w:rPr>
          <w:rFonts w:ascii="Trebuchet MS" w:hAnsi="Trebuchet MS" w:cs="Calibri"/>
          <w:sz w:val="23"/>
          <w:szCs w:val="23"/>
        </w:rPr>
        <w:t xml:space="preserve"> (</w:t>
      </w:r>
      <w:r w:rsidR="005115B0" w:rsidRPr="00025BA2">
        <w:rPr>
          <w:rFonts w:ascii="Trebuchet MS" w:hAnsi="Trebuchet MS" w:cs="Calibri"/>
          <w:sz w:val="23"/>
          <w:szCs w:val="23"/>
        </w:rPr>
        <w:t>TSTM</w:t>
      </w:r>
      <w:r w:rsidR="005D6CEC" w:rsidRPr="00025BA2">
        <w:rPr>
          <w:rFonts w:ascii="Trebuchet MS" w:hAnsi="Trebuchet MS" w:cs="Calibri"/>
          <w:sz w:val="23"/>
          <w:szCs w:val="23"/>
        </w:rPr>
        <w:t>)</w:t>
      </w:r>
      <w:r w:rsidR="002627F8" w:rsidRPr="00025BA2">
        <w:rPr>
          <w:rFonts w:ascii="Trebuchet MS" w:hAnsi="Trebuchet MS" w:cs="Calibri"/>
          <w:sz w:val="23"/>
          <w:szCs w:val="23"/>
        </w:rPr>
        <w:t xml:space="preserve"> coaches, </w:t>
      </w:r>
      <w:r w:rsidR="005115B0" w:rsidRPr="00025BA2">
        <w:rPr>
          <w:rFonts w:ascii="Trebuchet MS" w:hAnsi="Trebuchet MS" w:cs="Calibri"/>
          <w:sz w:val="23"/>
          <w:szCs w:val="23"/>
        </w:rPr>
        <w:t xml:space="preserve">data advisory </w:t>
      </w:r>
      <w:r w:rsidR="0053663A" w:rsidRPr="00025BA2">
        <w:rPr>
          <w:rFonts w:ascii="Trebuchet MS" w:hAnsi="Trebuchet MS" w:cs="Calibri"/>
          <w:sz w:val="23"/>
          <w:szCs w:val="23"/>
        </w:rPr>
        <w:t>specialists</w:t>
      </w:r>
      <w:r w:rsidR="002627F8" w:rsidRPr="00025BA2">
        <w:rPr>
          <w:rFonts w:ascii="Trebuchet MS" w:hAnsi="Trebuchet MS" w:cs="Calibri"/>
          <w:sz w:val="23"/>
          <w:szCs w:val="23"/>
        </w:rPr>
        <w:t>, teacher leader and peer coach</w:t>
      </w:r>
      <w:r w:rsidR="005D6CEC" w:rsidRPr="00025BA2">
        <w:rPr>
          <w:rFonts w:ascii="Trebuchet MS" w:hAnsi="Trebuchet MS" w:cs="Calibri"/>
          <w:sz w:val="23"/>
          <w:szCs w:val="23"/>
        </w:rPr>
        <w:t xml:space="preserve"> cohorts</w:t>
      </w:r>
      <w:r w:rsidR="002627F8" w:rsidRPr="00025BA2">
        <w:rPr>
          <w:rFonts w:ascii="Trebuchet MS" w:hAnsi="Trebuchet MS" w:cs="Calibri"/>
          <w:sz w:val="23"/>
          <w:szCs w:val="23"/>
        </w:rPr>
        <w:t>, and IET</w:t>
      </w:r>
      <w:r w:rsidR="005D6CEC" w:rsidRPr="00025BA2">
        <w:rPr>
          <w:rFonts w:ascii="Trebuchet MS" w:hAnsi="Trebuchet MS" w:cs="Calibri"/>
          <w:sz w:val="23"/>
          <w:szCs w:val="23"/>
        </w:rPr>
        <w:t xml:space="preserve"> teachers and administrators</w:t>
      </w:r>
      <w:r w:rsidR="002627F8" w:rsidRPr="00025BA2">
        <w:rPr>
          <w:rFonts w:ascii="Trebuchet MS" w:hAnsi="Trebuchet MS" w:cs="Calibri"/>
          <w:sz w:val="23"/>
          <w:szCs w:val="23"/>
        </w:rPr>
        <w:t xml:space="preserve">. </w:t>
      </w:r>
      <w:r w:rsidRPr="00025BA2">
        <w:rPr>
          <w:rFonts w:ascii="Trebuchet MS" w:hAnsi="Trebuchet MS" w:cs="Calibri"/>
          <w:sz w:val="23"/>
          <w:szCs w:val="23"/>
        </w:rPr>
        <w:t>T</w:t>
      </w:r>
      <w:r w:rsidR="00546001" w:rsidRPr="00025BA2">
        <w:rPr>
          <w:rFonts w:ascii="Trebuchet MS" w:hAnsi="Trebuchet MS" w:cs="Calibri"/>
          <w:sz w:val="23"/>
          <w:szCs w:val="23"/>
        </w:rPr>
        <w:t xml:space="preserve">he </w:t>
      </w:r>
      <w:r w:rsidR="0053663A" w:rsidRPr="00025BA2">
        <w:rPr>
          <w:rFonts w:ascii="Trebuchet MS" w:hAnsi="Trebuchet MS" w:cs="Calibri"/>
          <w:sz w:val="23"/>
          <w:szCs w:val="23"/>
        </w:rPr>
        <w:t>PY</w:t>
      </w:r>
      <w:r w:rsidR="00546001" w:rsidRPr="00025BA2">
        <w:rPr>
          <w:rFonts w:ascii="Trebuchet MS" w:hAnsi="Trebuchet MS" w:cs="Calibri"/>
          <w:sz w:val="23"/>
          <w:szCs w:val="23"/>
        </w:rPr>
        <w:t>2020-</w:t>
      </w:r>
      <w:r w:rsidR="0053663A" w:rsidRPr="00025BA2">
        <w:rPr>
          <w:rFonts w:ascii="Trebuchet MS" w:hAnsi="Trebuchet MS" w:cs="Calibri"/>
          <w:sz w:val="23"/>
          <w:szCs w:val="23"/>
        </w:rPr>
        <w:t>20</w:t>
      </w:r>
      <w:r w:rsidR="00546001" w:rsidRPr="00025BA2">
        <w:rPr>
          <w:rFonts w:ascii="Trebuchet MS" w:hAnsi="Trebuchet MS" w:cs="Calibri"/>
          <w:sz w:val="23"/>
          <w:szCs w:val="23"/>
        </w:rPr>
        <w:t xml:space="preserve">21 teacher leader PLC consisted of </w:t>
      </w:r>
      <w:r w:rsidR="00BA5C65" w:rsidRPr="00025BA2">
        <w:rPr>
          <w:rFonts w:ascii="Trebuchet MS" w:hAnsi="Trebuchet MS" w:cs="Calibri"/>
          <w:sz w:val="23"/>
          <w:szCs w:val="23"/>
        </w:rPr>
        <w:t xml:space="preserve">a </w:t>
      </w:r>
      <w:r w:rsidR="008F7860" w:rsidRPr="00025BA2">
        <w:rPr>
          <w:rFonts w:ascii="Trebuchet MS" w:hAnsi="Trebuchet MS" w:cs="Calibri"/>
          <w:sz w:val="23"/>
          <w:szCs w:val="23"/>
        </w:rPr>
        <w:t>20-member</w:t>
      </w:r>
      <w:r w:rsidR="00546001" w:rsidRPr="00025BA2">
        <w:rPr>
          <w:rFonts w:ascii="Trebuchet MS" w:hAnsi="Trebuchet MS" w:cs="Calibri"/>
          <w:sz w:val="23"/>
          <w:szCs w:val="23"/>
        </w:rPr>
        <w:t xml:space="preserve"> virtual professional learning community now in its </w:t>
      </w:r>
      <w:r w:rsidR="00BA5C65" w:rsidRPr="00025BA2">
        <w:rPr>
          <w:rFonts w:ascii="Trebuchet MS" w:hAnsi="Trebuchet MS" w:cs="Calibri"/>
          <w:sz w:val="23"/>
          <w:szCs w:val="23"/>
        </w:rPr>
        <w:t>third</w:t>
      </w:r>
      <w:r w:rsidR="00546001" w:rsidRPr="00025BA2">
        <w:rPr>
          <w:rFonts w:ascii="Trebuchet MS" w:hAnsi="Trebuchet MS" w:cs="Calibri"/>
          <w:sz w:val="23"/>
          <w:szCs w:val="23"/>
        </w:rPr>
        <w:t xml:space="preserve"> year. Facilitated by the VALRC staff, these teachers met to share their practices and build on </w:t>
      </w:r>
      <w:r w:rsidR="00DE2FE6">
        <w:rPr>
          <w:rFonts w:ascii="Trebuchet MS" w:hAnsi="Trebuchet MS" w:cs="Calibri"/>
          <w:sz w:val="23"/>
          <w:szCs w:val="23"/>
        </w:rPr>
        <w:lastRenderedPageBreak/>
        <w:t>one</w:t>
      </w:r>
      <w:r w:rsidR="00DE2FE6" w:rsidRPr="00025BA2">
        <w:rPr>
          <w:rFonts w:ascii="Trebuchet MS" w:hAnsi="Trebuchet MS" w:cs="Calibri"/>
          <w:sz w:val="23"/>
          <w:szCs w:val="23"/>
        </w:rPr>
        <w:t xml:space="preserve"> </w:t>
      </w:r>
      <w:r w:rsidR="00DE2FE6">
        <w:rPr>
          <w:rFonts w:ascii="Trebuchet MS" w:hAnsi="Trebuchet MS" w:cs="Calibri"/>
          <w:sz w:val="23"/>
          <w:szCs w:val="23"/>
        </w:rPr>
        <w:t>an</w:t>
      </w:r>
      <w:r w:rsidR="00546001" w:rsidRPr="00025BA2">
        <w:rPr>
          <w:rFonts w:ascii="Trebuchet MS" w:hAnsi="Trebuchet MS" w:cs="Calibri"/>
          <w:sz w:val="23"/>
          <w:szCs w:val="23"/>
        </w:rPr>
        <w:t>other’s knowledge and experiences</w:t>
      </w:r>
      <w:r w:rsidR="00BA5C65" w:rsidRPr="00025BA2">
        <w:rPr>
          <w:rFonts w:ascii="Trebuchet MS" w:hAnsi="Trebuchet MS" w:cs="Calibri"/>
          <w:sz w:val="23"/>
          <w:szCs w:val="23"/>
        </w:rPr>
        <w:t xml:space="preserve"> </w:t>
      </w:r>
      <w:r w:rsidR="00546001" w:rsidRPr="00025BA2">
        <w:rPr>
          <w:rFonts w:ascii="Trebuchet MS" w:hAnsi="Trebuchet MS" w:cs="Calibri"/>
          <w:sz w:val="23"/>
          <w:szCs w:val="23"/>
        </w:rPr>
        <w:t>as they develop</w:t>
      </w:r>
      <w:r w:rsidR="00516676" w:rsidRPr="00025BA2">
        <w:rPr>
          <w:rFonts w:ascii="Trebuchet MS" w:hAnsi="Trebuchet MS" w:cs="Calibri"/>
          <w:sz w:val="23"/>
          <w:szCs w:val="23"/>
        </w:rPr>
        <w:t>ed</w:t>
      </w:r>
      <w:r w:rsidR="00546001" w:rsidRPr="00025BA2">
        <w:rPr>
          <w:rFonts w:ascii="Trebuchet MS" w:hAnsi="Trebuchet MS" w:cs="Calibri"/>
          <w:sz w:val="23"/>
          <w:szCs w:val="23"/>
        </w:rPr>
        <w:t xml:space="preserve"> skills to handle </w:t>
      </w:r>
      <w:r w:rsidR="00516676" w:rsidRPr="00025BA2">
        <w:rPr>
          <w:rFonts w:ascii="Trebuchet MS" w:hAnsi="Trebuchet MS" w:cs="Calibri"/>
          <w:sz w:val="23"/>
          <w:szCs w:val="23"/>
        </w:rPr>
        <w:t>chang</w:t>
      </w:r>
      <w:r w:rsidR="00A177B7" w:rsidRPr="00025BA2">
        <w:rPr>
          <w:rFonts w:ascii="Trebuchet MS" w:hAnsi="Trebuchet MS" w:cs="Calibri"/>
          <w:sz w:val="23"/>
          <w:szCs w:val="23"/>
        </w:rPr>
        <w:t>ing</w:t>
      </w:r>
      <w:r w:rsidR="00516676" w:rsidRPr="00025BA2">
        <w:rPr>
          <w:rFonts w:ascii="Trebuchet MS" w:hAnsi="Trebuchet MS" w:cs="Calibri"/>
          <w:sz w:val="23"/>
          <w:szCs w:val="23"/>
        </w:rPr>
        <w:t xml:space="preserve"> </w:t>
      </w:r>
      <w:r w:rsidR="00546001" w:rsidRPr="00025BA2">
        <w:rPr>
          <w:rFonts w:ascii="Trebuchet MS" w:hAnsi="Trebuchet MS" w:cs="Calibri"/>
          <w:sz w:val="23"/>
          <w:szCs w:val="23"/>
        </w:rPr>
        <w:t xml:space="preserve">situations as a leader. </w:t>
      </w:r>
      <w:r w:rsidR="00BA5C65" w:rsidRPr="00025BA2">
        <w:rPr>
          <w:rFonts w:ascii="Trebuchet MS" w:hAnsi="Trebuchet MS" w:cs="Calibri"/>
          <w:sz w:val="23"/>
          <w:szCs w:val="23"/>
        </w:rPr>
        <w:t xml:space="preserve">Two areas of concentration, based on emerging academic and social context needs during the pandemic, were peer coaching and culturally responsive education. </w:t>
      </w:r>
      <w:r w:rsidR="00BA5C65" w:rsidRPr="00025BA2">
        <w:rPr>
          <w:rFonts w:ascii="Trebuchet MS" w:hAnsi="Trebuchet MS" w:cs="Calibri"/>
          <w:i/>
          <w:sz w:val="23"/>
          <w:szCs w:val="23"/>
        </w:rPr>
        <w:t>The Impact Cycle</w:t>
      </w:r>
      <w:r w:rsidR="00BA5C65" w:rsidRPr="00025BA2">
        <w:rPr>
          <w:rFonts w:ascii="Trebuchet MS" w:hAnsi="Trebuchet MS" w:cs="Calibri"/>
          <w:sz w:val="23"/>
          <w:szCs w:val="23"/>
        </w:rPr>
        <w:t xml:space="preserve"> by Jim </w:t>
      </w:r>
      <w:r w:rsidR="008F7860" w:rsidRPr="00025BA2">
        <w:rPr>
          <w:rFonts w:ascii="Trebuchet MS" w:hAnsi="Trebuchet MS" w:cs="Calibri"/>
          <w:sz w:val="23"/>
          <w:szCs w:val="23"/>
        </w:rPr>
        <w:t>Knight</w:t>
      </w:r>
      <w:r w:rsidR="00BA5C65" w:rsidRPr="00025BA2">
        <w:rPr>
          <w:rFonts w:ascii="Trebuchet MS" w:hAnsi="Trebuchet MS" w:cs="Calibri"/>
          <w:sz w:val="23"/>
          <w:szCs w:val="23"/>
        </w:rPr>
        <w:t xml:space="preserve">, provided by Learning Forward, and </w:t>
      </w:r>
      <w:r w:rsidR="00BA5C65" w:rsidRPr="00025BA2">
        <w:rPr>
          <w:rFonts w:ascii="Trebuchet MS" w:hAnsi="Trebuchet MS" w:cs="Calibri"/>
          <w:i/>
          <w:sz w:val="23"/>
          <w:szCs w:val="23"/>
        </w:rPr>
        <w:t>Culturally Responsive Teaching and the Brain</w:t>
      </w:r>
      <w:r w:rsidR="00BA5C65" w:rsidRPr="00025BA2">
        <w:rPr>
          <w:rFonts w:ascii="Trebuchet MS" w:hAnsi="Trebuchet MS" w:cs="Calibri"/>
          <w:sz w:val="23"/>
          <w:szCs w:val="23"/>
        </w:rPr>
        <w:t xml:space="preserve"> by </w:t>
      </w:r>
      <w:proofErr w:type="spellStart"/>
      <w:r w:rsidR="00BA5C65" w:rsidRPr="00025BA2">
        <w:rPr>
          <w:rFonts w:ascii="Trebuchet MS" w:hAnsi="Trebuchet MS" w:cs="Calibri"/>
          <w:sz w:val="23"/>
          <w:szCs w:val="23"/>
        </w:rPr>
        <w:t>Zaretta</w:t>
      </w:r>
      <w:proofErr w:type="spellEnd"/>
      <w:r w:rsidR="00BA5C65" w:rsidRPr="00025BA2">
        <w:rPr>
          <w:rFonts w:ascii="Trebuchet MS" w:hAnsi="Trebuchet MS" w:cs="Calibri"/>
          <w:sz w:val="23"/>
          <w:szCs w:val="23"/>
        </w:rPr>
        <w:t xml:space="preserve"> Hammond were chosen as </w:t>
      </w:r>
      <w:r w:rsidR="00DE2FE6">
        <w:rPr>
          <w:rFonts w:ascii="Trebuchet MS" w:hAnsi="Trebuchet MS" w:cs="Calibri"/>
          <w:sz w:val="23"/>
          <w:szCs w:val="23"/>
        </w:rPr>
        <w:t>the</w:t>
      </w:r>
      <w:r w:rsidR="00DE2FE6" w:rsidRPr="00025BA2">
        <w:rPr>
          <w:rFonts w:ascii="Trebuchet MS" w:hAnsi="Trebuchet MS" w:cs="Calibri"/>
          <w:sz w:val="23"/>
          <w:szCs w:val="23"/>
        </w:rPr>
        <w:t xml:space="preserve"> </w:t>
      </w:r>
      <w:r w:rsidR="00BA5C65" w:rsidRPr="00025BA2">
        <w:rPr>
          <w:rFonts w:ascii="Trebuchet MS" w:hAnsi="Trebuchet MS" w:cs="Calibri"/>
          <w:sz w:val="23"/>
          <w:szCs w:val="23"/>
        </w:rPr>
        <w:t>framework</w:t>
      </w:r>
      <w:r w:rsidR="00DE2FE6">
        <w:rPr>
          <w:rFonts w:ascii="Trebuchet MS" w:hAnsi="Trebuchet MS" w:cs="Calibri"/>
          <w:sz w:val="23"/>
          <w:szCs w:val="23"/>
        </w:rPr>
        <w:t>s</w:t>
      </w:r>
      <w:r w:rsidR="00BA5C65" w:rsidRPr="00025BA2">
        <w:rPr>
          <w:rFonts w:ascii="Trebuchet MS" w:hAnsi="Trebuchet MS" w:cs="Calibri"/>
          <w:sz w:val="23"/>
          <w:szCs w:val="23"/>
        </w:rPr>
        <w:t xml:space="preserve"> for PLC </w:t>
      </w:r>
      <w:r w:rsidR="00516676" w:rsidRPr="00025BA2">
        <w:rPr>
          <w:rFonts w:ascii="Trebuchet MS" w:hAnsi="Trebuchet MS" w:cs="Calibri"/>
          <w:sz w:val="23"/>
          <w:szCs w:val="23"/>
        </w:rPr>
        <w:t>study</w:t>
      </w:r>
      <w:r w:rsidR="003B3151" w:rsidRPr="00025BA2">
        <w:rPr>
          <w:rFonts w:ascii="Trebuchet MS" w:hAnsi="Trebuchet MS" w:cs="Calibri"/>
          <w:sz w:val="23"/>
          <w:szCs w:val="23"/>
        </w:rPr>
        <w:t xml:space="preserve">. </w:t>
      </w:r>
    </w:p>
    <w:p w14:paraId="6B1F0179" w14:textId="2A146912" w:rsidR="0000346C" w:rsidRPr="00025BA2" w:rsidRDefault="00DE2FE6" w:rsidP="003B3151">
      <w:pPr>
        <w:spacing w:before="120" w:after="120"/>
        <w:rPr>
          <w:rFonts w:ascii="Trebuchet MS" w:hAnsi="Trebuchet MS" w:cs="Calibri"/>
          <w:sz w:val="23"/>
          <w:szCs w:val="23"/>
        </w:rPr>
      </w:pPr>
      <w:r>
        <w:rPr>
          <w:rFonts w:ascii="Trebuchet MS" w:hAnsi="Trebuchet MS" w:cs="Calibri"/>
          <w:sz w:val="23"/>
          <w:szCs w:val="23"/>
        </w:rPr>
        <w:t>S</w:t>
      </w:r>
      <w:r w:rsidRPr="00DE2FE6">
        <w:rPr>
          <w:rFonts w:ascii="Trebuchet MS" w:hAnsi="Trebuchet MS" w:cs="Calibri"/>
          <w:sz w:val="23"/>
          <w:szCs w:val="23"/>
        </w:rPr>
        <w:t>upported by the state’s</w:t>
      </w:r>
      <w:r w:rsidR="000C1516">
        <w:rPr>
          <w:rFonts w:ascii="Trebuchet MS" w:hAnsi="Trebuchet MS" w:cs="Calibri"/>
          <w:sz w:val="23"/>
          <w:szCs w:val="23"/>
        </w:rPr>
        <w:t xml:space="preserve"> membership in the</w:t>
      </w:r>
      <w:r w:rsidRPr="00DE2FE6">
        <w:rPr>
          <w:rFonts w:ascii="Trebuchet MS" w:hAnsi="Trebuchet MS" w:cs="Calibri"/>
          <w:sz w:val="23"/>
          <w:szCs w:val="23"/>
        </w:rPr>
        <w:t xml:space="preserve"> </w:t>
      </w:r>
      <w:r w:rsidR="000C1516">
        <w:rPr>
          <w:rFonts w:ascii="Trebuchet MS" w:hAnsi="Trebuchet MS" w:cs="Calibri"/>
          <w:sz w:val="23"/>
          <w:szCs w:val="23"/>
        </w:rPr>
        <w:t>I</w:t>
      </w:r>
      <w:r w:rsidR="000C1516" w:rsidRPr="000C1516">
        <w:rPr>
          <w:rFonts w:ascii="Trebuchet MS" w:hAnsi="Trebuchet MS" w:cs="Calibri"/>
          <w:sz w:val="23"/>
          <w:szCs w:val="23"/>
        </w:rPr>
        <w:t>nnovating Distance Education in Adult Learning (IDEAL) Consortium</w:t>
      </w:r>
      <w:r>
        <w:rPr>
          <w:rFonts w:ascii="Trebuchet MS" w:hAnsi="Trebuchet MS" w:cs="Calibri"/>
          <w:sz w:val="23"/>
          <w:szCs w:val="23"/>
        </w:rPr>
        <w:t>,</w:t>
      </w:r>
      <w:r w:rsidRPr="00DE2FE6">
        <w:rPr>
          <w:rFonts w:ascii="Trebuchet MS" w:hAnsi="Trebuchet MS" w:cs="Calibri"/>
          <w:sz w:val="23"/>
          <w:szCs w:val="23"/>
        </w:rPr>
        <w:t xml:space="preserve"> </w:t>
      </w:r>
      <w:r>
        <w:rPr>
          <w:rFonts w:ascii="Trebuchet MS" w:hAnsi="Trebuchet MS" w:cs="Calibri"/>
          <w:sz w:val="23"/>
          <w:szCs w:val="23"/>
        </w:rPr>
        <w:t>f</w:t>
      </w:r>
      <w:r w:rsidRPr="00025BA2">
        <w:rPr>
          <w:rFonts w:ascii="Trebuchet MS" w:hAnsi="Trebuchet MS" w:cs="Calibri"/>
          <w:sz w:val="23"/>
          <w:szCs w:val="23"/>
        </w:rPr>
        <w:t xml:space="preserve">our </w:t>
      </w:r>
      <w:r w:rsidR="0000346C" w:rsidRPr="00025BA2">
        <w:rPr>
          <w:rFonts w:ascii="Trebuchet MS" w:hAnsi="Trebuchet MS" w:cs="Calibri"/>
          <w:sz w:val="23"/>
          <w:szCs w:val="23"/>
        </w:rPr>
        <w:t xml:space="preserve">Virginia </w:t>
      </w:r>
      <w:r w:rsidR="00B95FF7" w:rsidRPr="00025BA2">
        <w:rPr>
          <w:rFonts w:ascii="Trebuchet MS" w:hAnsi="Trebuchet MS" w:cs="Calibri"/>
          <w:sz w:val="23"/>
          <w:szCs w:val="23"/>
        </w:rPr>
        <w:t>teams</w:t>
      </w:r>
      <w:r w:rsidR="0000346C" w:rsidRPr="00025BA2">
        <w:rPr>
          <w:rFonts w:ascii="Trebuchet MS" w:hAnsi="Trebuchet MS" w:cs="Calibri"/>
          <w:sz w:val="23"/>
          <w:szCs w:val="23"/>
        </w:rPr>
        <w:t xml:space="preserve"> completed the </w:t>
      </w:r>
      <w:r w:rsidR="0000346C" w:rsidRPr="00025BA2">
        <w:rPr>
          <w:rFonts w:ascii="Trebuchet MS" w:hAnsi="Trebuchet MS" w:cs="Calibri"/>
          <w:i/>
          <w:sz w:val="23"/>
          <w:szCs w:val="23"/>
        </w:rPr>
        <w:t>IDEAL 101: Foundations of Distance Education and Blended Learning</w:t>
      </w:r>
      <w:r>
        <w:rPr>
          <w:rFonts w:ascii="Trebuchet MS" w:hAnsi="Trebuchet MS" w:cs="Calibri"/>
          <w:i/>
          <w:sz w:val="23"/>
          <w:szCs w:val="23"/>
        </w:rPr>
        <w:t xml:space="preserve"> </w:t>
      </w:r>
      <w:r w:rsidRPr="003B0A0B">
        <w:rPr>
          <w:rFonts w:ascii="Trebuchet MS" w:hAnsi="Trebuchet MS" w:cs="Calibri"/>
          <w:sz w:val="23"/>
          <w:szCs w:val="23"/>
        </w:rPr>
        <w:t>course</w:t>
      </w:r>
      <w:r w:rsidR="0000346C" w:rsidRPr="00025BA2">
        <w:rPr>
          <w:rFonts w:ascii="Trebuchet MS" w:hAnsi="Trebuchet MS" w:cs="Calibri"/>
          <w:sz w:val="23"/>
          <w:szCs w:val="23"/>
        </w:rPr>
        <w:t>. A virtual PLC model was incorporated to support programs through development, implementation, and feedback on blended learning course</w:t>
      </w:r>
      <w:r w:rsidR="00A177B7" w:rsidRPr="00025BA2">
        <w:rPr>
          <w:rFonts w:ascii="Trebuchet MS" w:hAnsi="Trebuchet MS" w:cs="Calibri"/>
          <w:sz w:val="23"/>
          <w:szCs w:val="23"/>
        </w:rPr>
        <w:t>s</w:t>
      </w:r>
      <w:r w:rsidR="0000346C" w:rsidRPr="00025BA2">
        <w:rPr>
          <w:rFonts w:ascii="Trebuchet MS" w:hAnsi="Trebuchet MS" w:cs="Calibri"/>
          <w:sz w:val="23"/>
          <w:szCs w:val="23"/>
        </w:rPr>
        <w:t xml:space="preserve"> and program design. As a complement to</w:t>
      </w:r>
      <w:r w:rsidR="00C5194C" w:rsidRPr="00025BA2">
        <w:rPr>
          <w:rFonts w:ascii="Trebuchet MS" w:hAnsi="Trebuchet MS" w:cs="Calibri"/>
          <w:sz w:val="23"/>
          <w:szCs w:val="23"/>
        </w:rPr>
        <w:t xml:space="preserve"> the IDEAL course, </w:t>
      </w:r>
      <w:r w:rsidR="00C5194C" w:rsidRPr="00025BA2">
        <w:rPr>
          <w:rFonts w:ascii="Trebuchet MS" w:hAnsi="Trebuchet MS" w:cs="Calibri"/>
          <w:i/>
          <w:sz w:val="23"/>
          <w:szCs w:val="23"/>
        </w:rPr>
        <w:t>Quality Teaching Online</w:t>
      </w:r>
      <w:r w:rsidR="00C5194C" w:rsidRPr="00025BA2">
        <w:rPr>
          <w:rFonts w:ascii="Trebuchet MS" w:hAnsi="Trebuchet MS" w:cs="Calibri"/>
          <w:sz w:val="23"/>
          <w:szCs w:val="23"/>
        </w:rPr>
        <w:t xml:space="preserve"> was developed and offered as a </w:t>
      </w:r>
      <w:r w:rsidR="008F7860" w:rsidRPr="00025BA2">
        <w:rPr>
          <w:rFonts w:ascii="Trebuchet MS" w:hAnsi="Trebuchet MS" w:cs="Calibri"/>
          <w:sz w:val="23"/>
          <w:szCs w:val="23"/>
        </w:rPr>
        <w:t>six-week</w:t>
      </w:r>
      <w:r w:rsidR="00C5194C" w:rsidRPr="00025BA2">
        <w:rPr>
          <w:rFonts w:ascii="Trebuchet MS" w:hAnsi="Trebuchet MS" w:cs="Calibri"/>
          <w:sz w:val="23"/>
          <w:szCs w:val="23"/>
        </w:rPr>
        <w:t xml:space="preserve"> PLC</w:t>
      </w:r>
      <w:r w:rsidR="0000346C" w:rsidRPr="00025BA2">
        <w:rPr>
          <w:rFonts w:ascii="Trebuchet MS" w:hAnsi="Trebuchet MS" w:cs="Calibri"/>
          <w:sz w:val="23"/>
          <w:szCs w:val="23"/>
        </w:rPr>
        <w:t xml:space="preserve"> </w:t>
      </w:r>
      <w:r w:rsidR="00C5194C" w:rsidRPr="00025BA2">
        <w:rPr>
          <w:rFonts w:ascii="Trebuchet MS" w:hAnsi="Trebuchet MS" w:cs="Calibri"/>
          <w:sz w:val="23"/>
          <w:szCs w:val="23"/>
        </w:rPr>
        <w:t xml:space="preserve">to focus on best practices for designing coherent and effective online courses. </w:t>
      </w:r>
      <w:r w:rsidR="00F511C9" w:rsidRPr="00025BA2">
        <w:rPr>
          <w:rFonts w:ascii="Trebuchet MS" w:hAnsi="Trebuchet MS" w:cs="Calibri"/>
          <w:sz w:val="23"/>
          <w:szCs w:val="23"/>
        </w:rPr>
        <w:t xml:space="preserve">Bimonthly virtual </w:t>
      </w:r>
      <w:r w:rsidR="00F511C9" w:rsidRPr="00025BA2">
        <w:rPr>
          <w:rFonts w:ascii="Trebuchet MS" w:hAnsi="Trebuchet MS" w:cs="Calibri"/>
          <w:i/>
          <w:sz w:val="23"/>
          <w:szCs w:val="23"/>
        </w:rPr>
        <w:t>Open Discussion on Distance Education</w:t>
      </w:r>
      <w:r w:rsidR="00F511C9" w:rsidRPr="00025BA2">
        <w:rPr>
          <w:rFonts w:ascii="Trebuchet MS" w:hAnsi="Trebuchet MS" w:cs="Calibri"/>
          <w:sz w:val="23"/>
          <w:szCs w:val="23"/>
        </w:rPr>
        <w:t xml:space="preserve"> webinars covered t</w:t>
      </w:r>
      <w:r w:rsidR="00827CEA" w:rsidRPr="00025BA2">
        <w:rPr>
          <w:rFonts w:ascii="Trebuchet MS" w:hAnsi="Trebuchet MS" w:cs="Calibri"/>
          <w:sz w:val="23"/>
          <w:szCs w:val="23"/>
        </w:rPr>
        <w:t>opics such as teacher observation</w:t>
      </w:r>
      <w:r w:rsidR="00F511C9" w:rsidRPr="00025BA2">
        <w:rPr>
          <w:rFonts w:ascii="Trebuchet MS" w:hAnsi="Trebuchet MS" w:cs="Calibri"/>
          <w:sz w:val="23"/>
          <w:szCs w:val="23"/>
        </w:rPr>
        <w:t xml:space="preserve">, best online instructional practices, </w:t>
      </w:r>
      <w:r w:rsidR="005115B0" w:rsidRPr="00025BA2">
        <w:rPr>
          <w:rFonts w:ascii="Trebuchet MS" w:hAnsi="Trebuchet MS" w:cs="Calibri"/>
          <w:sz w:val="23"/>
          <w:szCs w:val="23"/>
        </w:rPr>
        <w:t xml:space="preserve">recruitment </w:t>
      </w:r>
      <w:r w:rsidR="00827CEA" w:rsidRPr="00025BA2">
        <w:rPr>
          <w:rFonts w:ascii="Trebuchet MS" w:hAnsi="Trebuchet MS" w:cs="Calibri"/>
          <w:sz w:val="23"/>
          <w:szCs w:val="23"/>
        </w:rPr>
        <w:t xml:space="preserve">and </w:t>
      </w:r>
      <w:r w:rsidR="00F511C9" w:rsidRPr="00025BA2">
        <w:rPr>
          <w:rFonts w:ascii="Trebuchet MS" w:hAnsi="Trebuchet MS" w:cs="Calibri"/>
          <w:sz w:val="23"/>
          <w:szCs w:val="23"/>
        </w:rPr>
        <w:t xml:space="preserve">orientation practices, buy-in and benefits of online learning, and quality resources and approved distance education </w:t>
      </w:r>
      <w:r w:rsidR="005115B0" w:rsidRPr="00025BA2">
        <w:rPr>
          <w:rFonts w:ascii="Trebuchet MS" w:hAnsi="Trebuchet MS" w:cs="Calibri"/>
          <w:sz w:val="23"/>
          <w:szCs w:val="23"/>
        </w:rPr>
        <w:t>curricula</w:t>
      </w:r>
      <w:r w:rsidR="00F511C9" w:rsidRPr="00025BA2">
        <w:rPr>
          <w:rFonts w:ascii="Trebuchet MS" w:hAnsi="Trebuchet MS" w:cs="Calibri"/>
          <w:sz w:val="23"/>
          <w:szCs w:val="23"/>
        </w:rPr>
        <w:t>.</w:t>
      </w:r>
    </w:p>
    <w:p w14:paraId="2FDEC2DC" w14:textId="69434E91" w:rsidR="0043288B" w:rsidRPr="00025BA2" w:rsidRDefault="0043288B" w:rsidP="0043288B">
      <w:pPr>
        <w:rPr>
          <w:rFonts w:ascii="Trebuchet MS" w:hAnsi="Trebuchet MS" w:cs="Calibri"/>
          <w:sz w:val="23"/>
          <w:szCs w:val="23"/>
        </w:rPr>
      </w:pPr>
      <w:r w:rsidRPr="00025BA2">
        <w:rPr>
          <w:rFonts w:ascii="Trebuchet MS" w:hAnsi="Trebuchet MS" w:cs="Calibri"/>
          <w:sz w:val="23"/>
          <w:szCs w:val="23"/>
        </w:rPr>
        <w:t xml:space="preserve">The virtual </w:t>
      </w:r>
      <w:hyperlink r:id="rId14" w:history="1">
        <w:r w:rsidRPr="00025BA2">
          <w:rPr>
            <w:rStyle w:val="Hyperlink"/>
            <w:rFonts w:ascii="Trebuchet MS" w:hAnsi="Trebuchet MS" w:cs="Calibri"/>
            <w:sz w:val="23"/>
            <w:szCs w:val="23"/>
          </w:rPr>
          <w:t>2020-</w:t>
        </w:r>
        <w:r w:rsidR="00246FE4">
          <w:rPr>
            <w:rStyle w:val="Hyperlink"/>
            <w:rFonts w:ascii="Trebuchet MS" w:hAnsi="Trebuchet MS" w:cs="Calibri"/>
            <w:sz w:val="23"/>
            <w:szCs w:val="23"/>
          </w:rPr>
          <w:t>20</w:t>
        </w:r>
        <w:r w:rsidRPr="00025BA2">
          <w:rPr>
            <w:rStyle w:val="Hyperlink"/>
            <w:rFonts w:ascii="Trebuchet MS" w:hAnsi="Trebuchet MS" w:cs="Calibri"/>
            <w:sz w:val="23"/>
            <w:szCs w:val="23"/>
          </w:rPr>
          <w:t>21 Adult Education and Literacy (AE</w:t>
        </w:r>
        <w:r w:rsidR="000C1516">
          <w:rPr>
            <w:rStyle w:val="Hyperlink"/>
            <w:rFonts w:ascii="Trebuchet MS" w:hAnsi="Trebuchet MS" w:cs="Calibri"/>
            <w:sz w:val="23"/>
            <w:szCs w:val="23"/>
          </w:rPr>
          <w:t>&amp;</w:t>
        </w:r>
        <w:r w:rsidRPr="00025BA2">
          <w:rPr>
            <w:rStyle w:val="Hyperlink"/>
            <w:rFonts w:ascii="Trebuchet MS" w:hAnsi="Trebuchet MS" w:cs="Calibri"/>
            <w:sz w:val="23"/>
            <w:szCs w:val="23"/>
          </w:rPr>
          <w:t xml:space="preserve">L) Conference </w:t>
        </w:r>
        <w:r w:rsidR="008F7860" w:rsidRPr="00025BA2">
          <w:rPr>
            <w:rStyle w:val="Hyperlink"/>
            <w:rFonts w:ascii="Trebuchet MS" w:hAnsi="Trebuchet MS" w:cs="Calibri"/>
            <w:sz w:val="23"/>
            <w:szCs w:val="23"/>
          </w:rPr>
          <w:t>Remix</w:t>
        </w:r>
      </w:hyperlink>
      <w:r w:rsidRPr="00025BA2">
        <w:rPr>
          <w:rFonts w:ascii="Trebuchet MS" w:hAnsi="Trebuchet MS" w:cs="Calibri"/>
          <w:sz w:val="23"/>
          <w:szCs w:val="23"/>
        </w:rPr>
        <w:t xml:space="preserve"> provided </w:t>
      </w:r>
      <w:r w:rsidR="00E64DDD" w:rsidRPr="00025BA2">
        <w:rPr>
          <w:rFonts w:ascii="Trebuchet MS" w:hAnsi="Trebuchet MS" w:cs="Calibri"/>
          <w:sz w:val="23"/>
          <w:szCs w:val="23"/>
        </w:rPr>
        <w:t>an</w:t>
      </w:r>
      <w:r w:rsidRPr="00025BA2">
        <w:rPr>
          <w:rFonts w:ascii="Trebuchet MS" w:hAnsi="Trebuchet MS" w:cs="Calibri"/>
          <w:sz w:val="23"/>
          <w:szCs w:val="23"/>
        </w:rPr>
        <w:t xml:space="preserve"> opportunity to </w:t>
      </w:r>
      <w:r w:rsidR="00B30110" w:rsidRPr="00025BA2">
        <w:rPr>
          <w:rFonts w:ascii="Trebuchet MS" w:hAnsi="Trebuchet MS" w:cs="Calibri"/>
          <w:sz w:val="23"/>
          <w:szCs w:val="23"/>
        </w:rPr>
        <w:t>model</w:t>
      </w:r>
      <w:r w:rsidRPr="00025BA2">
        <w:rPr>
          <w:rFonts w:ascii="Trebuchet MS" w:hAnsi="Trebuchet MS" w:cs="Calibri"/>
          <w:sz w:val="23"/>
          <w:szCs w:val="23"/>
        </w:rPr>
        <w:t xml:space="preserve"> </w:t>
      </w:r>
      <w:r w:rsidR="00B30110" w:rsidRPr="00025BA2">
        <w:rPr>
          <w:rFonts w:ascii="Trebuchet MS" w:hAnsi="Trebuchet MS" w:cs="Calibri"/>
          <w:sz w:val="23"/>
          <w:szCs w:val="23"/>
        </w:rPr>
        <w:t>project-based learning</w:t>
      </w:r>
      <w:r w:rsidRPr="00025BA2">
        <w:rPr>
          <w:rFonts w:ascii="Trebuchet MS" w:hAnsi="Trebuchet MS" w:cs="Calibri"/>
          <w:sz w:val="23"/>
          <w:szCs w:val="23"/>
        </w:rPr>
        <w:t xml:space="preserve"> and create an engaging online learning experience for participants by </w:t>
      </w:r>
      <w:r w:rsidR="005115B0" w:rsidRPr="00025BA2">
        <w:rPr>
          <w:rFonts w:ascii="Trebuchet MS" w:hAnsi="Trebuchet MS" w:cs="Calibri"/>
          <w:sz w:val="23"/>
          <w:szCs w:val="23"/>
        </w:rPr>
        <w:t xml:space="preserve">using </w:t>
      </w:r>
      <w:r w:rsidRPr="00025BA2">
        <w:rPr>
          <w:rFonts w:ascii="Trebuchet MS" w:hAnsi="Trebuchet MS" w:cs="Calibri"/>
          <w:sz w:val="23"/>
          <w:szCs w:val="23"/>
        </w:rPr>
        <w:t xml:space="preserve">multimodal approaches and </w:t>
      </w:r>
      <w:r w:rsidR="005115B0" w:rsidRPr="00025BA2">
        <w:rPr>
          <w:rFonts w:ascii="Trebuchet MS" w:hAnsi="Trebuchet MS" w:cs="Calibri"/>
          <w:sz w:val="23"/>
          <w:szCs w:val="23"/>
        </w:rPr>
        <w:t>a</w:t>
      </w:r>
      <w:r w:rsidRPr="00025BA2">
        <w:rPr>
          <w:rFonts w:ascii="Trebuchet MS" w:hAnsi="Trebuchet MS" w:cs="Calibri"/>
          <w:sz w:val="23"/>
          <w:szCs w:val="23"/>
        </w:rPr>
        <w:t xml:space="preserve"> variety of technology tools. With inspiration from the </w:t>
      </w:r>
      <w:r w:rsidR="005115B0" w:rsidRPr="00025BA2">
        <w:rPr>
          <w:rFonts w:ascii="Trebuchet MS" w:hAnsi="Trebuchet MS" w:cs="Calibri"/>
          <w:sz w:val="23"/>
          <w:szCs w:val="23"/>
        </w:rPr>
        <w:t>concept of</w:t>
      </w:r>
      <w:r w:rsidRPr="00025BA2">
        <w:rPr>
          <w:rFonts w:ascii="Trebuchet MS" w:hAnsi="Trebuchet MS" w:cs="Calibri"/>
          <w:sz w:val="23"/>
          <w:szCs w:val="23"/>
        </w:rPr>
        <w:t xml:space="preserve"> flipped classroom</w:t>
      </w:r>
      <w:r w:rsidR="005115B0" w:rsidRPr="00025BA2">
        <w:rPr>
          <w:rFonts w:ascii="Trebuchet MS" w:hAnsi="Trebuchet MS" w:cs="Calibri"/>
          <w:sz w:val="23"/>
          <w:szCs w:val="23"/>
        </w:rPr>
        <w:t>s</w:t>
      </w:r>
      <w:r w:rsidRPr="00025BA2">
        <w:rPr>
          <w:rFonts w:ascii="Trebuchet MS" w:hAnsi="Trebuchet MS" w:cs="Calibri"/>
          <w:sz w:val="23"/>
          <w:szCs w:val="23"/>
        </w:rPr>
        <w:t xml:space="preserve">, the AE&amp;L Conference Remix spread conference components over six months. Two primary components of the conference were challenge teams and a speaker series. </w:t>
      </w:r>
      <w:r w:rsidR="003B3151" w:rsidRPr="00025BA2">
        <w:rPr>
          <w:rFonts w:ascii="Trebuchet MS" w:hAnsi="Trebuchet MS" w:cs="Calibri"/>
          <w:sz w:val="23"/>
          <w:szCs w:val="23"/>
        </w:rPr>
        <w:t>Ninety</w:t>
      </w:r>
      <w:r w:rsidR="00493A5A" w:rsidRPr="00025BA2">
        <w:rPr>
          <w:rFonts w:ascii="Trebuchet MS" w:hAnsi="Trebuchet MS" w:cs="Calibri"/>
          <w:sz w:val="23"/>
          <w:szCs w:val="23"/>
        </w:rPr>
        <w:t xml:space="preserve"> participants, across t</w:t>
      </w:r>
      <w:r w:rsidRPr="00025BA2">
        <w:rPr>
          <w:rFonts w:ascii="Trebuchet MS" w:hAnsi="Trebuchet MS" w:cs="Calibri"/>
          <w:sz w:val="23"/>
          <w:szCs w:val="23"/>
        </w:rPr>
        <w:t xml:space="preserve">en cross-regional and </w:t>
      </w:r>
      <w:r w:rsidR="008F7860" w:rsidRPr="00025BA2">
        <w:rPr>
          <w:rFonts w:ascii="Trebuchet MS" w:hAnsi="Trebuchet MS" w:cs="Calibri"/>
          <w:sz w:val="23"/>
          <w:szCs w:val="23"/>
        </w:rPr>
        <w:t>cross</w:t>
      </w:r>
      <w:r w:rsidR="000C1516">
        <w:rPr>
          <w:rFonts w:ascii="Trebuchet MS" w:hAnsi="Trebuchet MS" w:cs="Calibri"/>
          <w:sz w:val="23"/>
          <w:szCs w:val="23"/>
        </w:rPr>
        <w:t>-</w:t>
      </w:r>
      <w:r w:rsidR="008F7860" w:rsidRPr="00025BA2">
        <w:rPr>
          <w:rFonts w:ascii="Trebuchet MS" w:hAnsi="Trebuchet MS" w:cs="Calibri"/>
          <w:sz w:val="23"/>
          <w:szCs w:val="23"/>
        </w:rPr>
        <w:t xml:space="preserve"> functional</w:t>
      </w:r>
      <w:r w:rsidRPr="00025BA2">
        <w:rPr>
          <w:rFonts w:ascii="Trebuchet MS" w:hAnsi="Trebuchet MS" w:cs="Calibri"/>
          <w:sz w:val="23"/>
          <w:szCs w:val="23"/>
        </w:rPr>
        <w:t xml:space="preserve"> challenge teams formed around common interests in tackling </w:t>
      </w:r>
      <w:r w:rsidR="00493A5A" w:rsidRPr="00025BA2">
        <w:rPr>
          <w:rFonts w:ascii="Trebuchet MS" w:hAnsi="Trebuchet MS" w:cs="Calibri"/>
          <w:sz w:val="23"/>
          <w:szCs w:val="23"/>
        </w:rPr>
        <w:t>authentic</w:t>
      </w:r>
      <w:r w:rsidR="005115B0" w:rsidRPr="00025BA2">
        <w:rPr>
          <w:rFonts w:ascii="Trebuchet MS" w:hAnsi="Trebuchet MS" w:cs="Calibri"/>
          <w:sz w:val="23"/>
          <w:szCs w:val="23"/>
        </w:rPr>
        <w:t>,</w:t>
      </w:r>
      <w:r w:rsidR="00493A5A" w:rsidRPr="00025BA2">
        <w:rPr>
          <w:rFonts w:ascii="Trebuchet MS" w:hAnsi="Trebuchet MS" w:cs="Calibri"/>
          <w:sz w:val="23"/>
          <w:szCs w:val="23"/>
        </w:rPr>
        <w:t xml:space="preserve"> shared</w:t>
      </w:r>
      <w:r w:rsidRPr="00025BA2">
        <w:rPr>
          <w:rFonts w:ascii="Trebuchet MS" w:hAnsi="Trebuchet MS" w:cs="Calibri"/>
          <w:sz w:val="23"/>
          <w:szCs w:val="23"/>
        </w:rPr>
        <w:t xml:space="preserve"> issues</w:t>
      </w:r>
      <w:r w:rsidR="00B95FF7" w:rsidRPr="00025BA2">
        <w:rPr>
          <w:rFonts w:ascii="Trebuchet MS" w:hAnsi="Trebuchet MS" w:cs="Calibri"/>
          <w:sz w:val="23"/>
          <w:szCs w:val="23"/>
        </w:rPr>
        <w:t xml:space="preserve"> and</w:t>
      </w:r>
      <w:r w:rsidRPr="00025BA2">
        <w:rPr>
          <w:rFonts w:ascii="Trebuchet MS" w:hAnsi="Trebuchet MS" w:cs="Calibri"/>
          <w:sz w:val="23"/>
          <w:szCs w:val="23"/>
        </w:rPr>
        <w:t xml:space="preserve"> used project-based learning (PBL) methodology as an immersive professional development context. A key component of the team challenge success was the incorporation of peer coaches </w:t>
      </w:r>
      <w:r w:rsidR="00B95FF7" w:rsidRPr="00025BA2">
        <w:rPr>
          <w:rFonts w:ascii="Trebuchet MS" w:hAnsi="Trebuchet MS" w:cs="Calibri"/>
          <w:sz w:val="23"/>
          <w:szCs w:val="23"/>
        </w:rPr>
        <w:t>drawn</w:t>
      </w:r>
      <w:r w:rsidRPr="00025BA2">
        <w:rPr>
          <w:rFonts w:ascii="Trebuchet MS" w:hAnsi="Trebuchet MS" w:cs="Calibri"/>
          <w:sz w:val="23"/>
          <w:szCs w:val="23"/>
        </w:rPr>
        <w:t xml:space="preserve"> from </w:t>
      </w:r>
      <w:r w:rsidR="00493A5A" w:rsidRPr="00025BA2">
        <w:rPr>
          <w:rFonts w:ascii="Trebuchet MS" w:hAnsi="Trebuchet MS" w:cs="Calibri"/>
          <w:sz w:val="23"/>
          <w:szCs w:val="23"/>
        </w:rPr>
        <w:t>the</w:t>
      </w:r>
      <w:r w:rsidRPr="00025BA2">
        <w:rPr>
          <w:rFonts w:ascii="Trebuchet MS" w:hAnsi="Trebuchet MS" w:cs="Calibri"/>
          <w:sz w:val="23"/>
          <w:szCs w:val="23"/>
        </w:rPr>
        <w:t xml:space="preserve"> statewide teacher leader PLC. Four periodic virtual plenary sessions took place over the course of the six months</w:t>
      </w:r>
      <w:r w:rsidR="00493A5A" w:rsidRPr="00025BA2">
        <w:rPr>
          <w:rFonts w:ascii="Trebuchet MS" w:hAnsi="Trebuchet MS" w:cs="Calibri"/>
          <w:sz w:val="23"/>
          <w:szCs w:val="23"/>
        </w:rPr>
        <w:t xml:space="preserve"> and engaged 4</w:t>
      </w:r>
      <w:r w:rsidR="00481069" w:rsidRPr="00025BA2">
        <w:rPr>
          <w:rFonts w:ascii="Trebuchet MS" w:hAnsi="Trebuchet MS" w:cs="Calibri"/>
          <w:sz w:val="23"/>
          <w:szCs w:val="23"/>
        </w:rPr>
        <w:t>50</w:t>
      </w:r>
      <w:r w:rsidR="00493A5A" w:rsidRPr="00025BA2">
        <w:rPr>
          <w:rFonts w:ascii="Trebuchet MS" w:hAnsi="Trebuchet MS" w:cs="Calibri"/>
          <w:sz w:val="23"/>
          <w:szCs w:val="23"/>
        </w:rPr>
        <w:t xml:space="preserve"> participants</w:t>
      </w:r>
      <w:r w:rsidRPr="00025BA2">
        <w:rPr>
          <w:rFonts w:ascii="Trebuchet MS" w:hAnsi="Trebuchet MS" w:cs="Calibri"/>
          <w:sz w:val="23"/>
          <w:szCs w:val="23"/>
        </w:rPr>
        <w:t xml:space="preserve">. </w:t>
      </w:r>
      <w:r w:rsidR="009D16EA" w:rsidRPr="00025BA2">
        <w:rPr>
          <w:rFonts w:ascii="Trebuchet MS" w:hAnsi="Trebuchet MS" w:cs="Calibri"/>
          <w:sz w:val="23"/>
          <w:szCs w:val="23"/>
        </w:rPr>
        <w:t>VALRC contracted with a</w:t>
      </w:r>
      <w:r w:rsidRPr="00025BA2">
        <w:rPr>
          <w:rFonts w:ascii="Trebuchet MS" w:hAnsi="Trebuchet MS" w:cs="Calibri"/>
          <w:sz w:val="23"/>
          <w:szCs w:val="23"/>
        </w:rPr>
        <w:t xml:space="preserve"> diverse set of keynote speakers aligned with the primary learning objectives of the overall conference </w:t>
      </w:r>
      <w:r w:rsidR="005115B0" w:rsidRPr="00025BA2">
        <w:rPr>
          <w:rFonts w:ascii="Trebuchet MS" w:hAnsi="Trebuchet MS" w:cs="Calibri"/>
          <w:sz w:val="23"/>
          <w:szCs w:val="23"/>
        </w:rPr>
        <w:t>with the</w:t>
      </w:r>
      <w:r w:rsidRPr="00025BA2">
        <w:rPr>
          <w:rFonts w:ascii="Trebuchet MS" w:hAnsi="Trebuchet MS" w:cs="Calibri"/>
          <w:sz w:val="23"/>
          <w:szCs w:val="23"/>
        </w:rPr>
        <w:t xml:space="preserve"> goal </w:t>
      </w:r>
      <w:r w:rsidR="005115B0" w:rsidRPr="00025BA2">
        <w:rPr>
          <w:rFonts w:ascii="Trebuchet MS" w:hAnsi="Trebuchet MS" w:cs="Calibri"/>
          <w:sz w:val="23"/>
          <w:szCs w:val="23"/>
        </w:rPr>
        <w:t xml:space="preserve">of </w:t>
      </w:r>
      <w:r w:rsidRPr="00025BA2">
        <w:rPr>
          <w:rFonts w:ascii="Trebuchet MS" w:hAnsi="Trebuchet MS" w:cs="Calibri"/>
          <w:sz w:val="23"/>
          <w:szCs w:val="23"/>
        </w:rPr>
        <w:t>highlight</w:t>
      </w:r>
      <w:r w:rsidR="00654C26" w:rsidRPr="00025BA2">
        <w:rPr>
          <w:rFonts w:ascii="Trebuchet MS" w:hAnsi="Trebuchet MS" w:cs="Calibri"/>
          <w:sz w:val="23"/>
          <w:szCs w:val="23"/>
        </w:rPr>
        <w:t>ing</w:t>
      </w:r>
      <w:r w:rsidRPr="00025BA2">
        <w:rPr>
          <w:rFonts w:ascii="Trebuchet MS" w:hAnsi="Trebuchet MS" w:cs="Calibri"/>
          <w:sz w:val="23"/>
          <w:szCs w:val="23"/>
        </w:rPr>
        <w:t xml:space="preserve"> diverse thought leaders in the field. Each speaker series session also offered time for</w:t>
      </w:r>
      <w:r w:rsidR="00B30110" w:rsidRPr="00025BA2">
        <w:rPr>
          <w:rFonts w:ascii="Trebuchet MS" w:hAnsi="Trebuchet MS" w:cs="Calibri"/>
          <w:sz w:val="23"/>
          <w:szCs w:val="23"/>
        </w:rPr>
        <w:t xml:space="preserve"> reflection and networking in</w:t>
      </w:r>
      <w:r w:rsidRPr="00025BA2">
        <w:rPr>
          <w:rFonts w:ascii="Trebuchet MS" w:hAnsi="Trebuchet MS" w:cs="Calibri"/>
          <w:sz w:val="23"/>
          <w:szCs w:val="23"/>
        </w:rPr>
        <w:t xml:space="preserve"> </w:t>
      </w:r>
      <w:r w:rsidR="00654C26" w:rsidRPr="00025BA2">
        <w:rPr>
          <w:rFonts w:ascii="Trebuchet MS" w:hAnsi="Trebuchet MS" w:cs="Calibri"/>
          <w:sz w:val="23"/>
          <w:szCs w:val="23"/>
        </w:rPr>
        <w:t xml:space="preserve">“think tanks” that </w:t>
      </w:r>
      <w:r w:rsidR="00B30110" w:rsidRPr="00025BA2">
        <w:rPr>
          <w:rFonts w:ascii="Trebuchet MS" w:hAnsi="Trebuchet MS" w:cs="Calibri"/>
          <w:sz w:val="23"/>
          <w:szCs w:val="23"/>
        </w:rPr>
        <w:t>were</w:t>
      </w:r>
      <w:r w:rsidRPr="00025BA2">
        <w:rPr>
          <w:rFonts w:ascii="Trebuchet MS" w:hAnsi="Trebuchet MS" w:cs="Calibri"/>
          <w:sz w:val="23"/>
          <w:szCs w:val="23"/>
        </w:rPr>
        <w:t xml:space="preserve"> facilitated by peer coaches. The culminating event of the AE&amp;L Conference Remix took place virtu</w:t>
      </w:r>
      <w:r w:rsidR="00B95FF7" w:rsidRPr="00025BA2">
        <w:rPr>
          <w:rFonts w:ascii="Trebuchet MS" w:hAnsi="Trebuchet MS" w:cs="Calibri"/>
          <w:sz w:val="23"/>
          <w:szCs w:val="23"/>
        </w:rPr>
        <w:t>ally over two days in mid-April</w:t>
      </w:r>
      <w:r w:rsidR="00654C26" w:rsidRPr="00025BA2">
        <w:rPr>
          <w:rFonts w:ascii="Trebuchet MS" w:hAnsi="Trebuchet MS" w:cs="Calibri"/>
          <w:sz w:val="23"/>
          <w:szCs w:val="23"/>
        </w:rPr>
        <w:t xml:space="preserve">. The </w:t>
      </w:r>
      <w:r w:rsidRPr="00025BA2">
        <w:rPr>
          <w:rFonts w:ascii="Trebuchet MS" w:hAnsi="Trebuchet MS" w:cs="Calibri"/>
          <w:sz w:val="23"/>
          <w:szCs w:val="23"/>
        </w:rPr>
        <w:t>Team Challenge Showcase presented the work of the ten challenge teams, providing actionable solutions for Virginia’s adult educators (</w:t>
      </w:r>
      <w:r w:rsidR="00516676" w:rsidRPr="00025BA2">
        <w:rPr>
          <w:rFonts w:ascii="Trebuchet MS" w:hAnsi="Trebuchet MS" w:cs="Calibri"/>
          <w:sz w:val="23"/>
          <w:szCs w:val="23"/>
        </w:rPr>
        <w:t>s</w:t>
      </w:r>
      <w:r w:rsidRPr="00025BA2">
        <w:rPr>
          <w:rFonts w:ascii="Trebuchet MS" w:hAnsi="Trebuchet MS" w:cs="Calibri"/>
          <w:sz w:val="23"/>
          <w:szCs w:val="23"/>
        </w:rPr>
        <w:t xml:space="preserve">ee </w:t>
      </w:r>
      <w:r w:rsidRPr="00050D51">
        <w:rPr>
          <w:rFonts w:ascii="Trebuchet MS" w:hAnsi="Trebuchet MS" w:cs="Calibri"/>
          <w:sz w:val="23"/>
          <w:szCs w:val="23"/>
        </w:rPr>
        <w:t>PROGRESS, June 2021</w:t>
      </w:r>
      <w:r w:rsidRPr="00025BA2">
        <w:rPr>
          <w:rFonts w:ascii="Trebuchet MS" w:hAnsi="Trebuchet MS" w:cs="Calibri"/>
          <w:sz w:val="23"/>
          <w:szCs w:val="23"/>
        </w:rPr>
        <w:t xml:space="preserve">). </w:t>
      </w:r>
    </w:p>
    <w:p w14:paraId="543060A2" w14:textId="5CDF2257" w:rsidR="00827CEA" w:rsidRPr="00025BA2" w:rsidRDefault="00720411" w:rsidP="00827CEA">
      <w:pPr>
        <w:tabs>
          <w:tab w:val="num" w:pos="1440"/>
        </w:tabs>
        <w:spacing w:before="120" w:after="120"/>
        <w:rPr>
          <w:rFonts w:ascii="Trebuchet MS" w:hAnsi="Trebuchet MS" w:cs="Calibri"/>
          <w:sz w:val="23"/>
          <w:szCs w:val="23"/>
        </w:rPr>
      </w:pPr>
      <w:r w:rsidRPr="00025BA2">
        <w:rPr>
          <w:rFonts w:ascii="Trebuchet MS" w:hAnsi="Trebuchet MS" w:cs="Calibri"/>
          <w:sz w:val="23"/>
          <w:szCs w:val="23"/>
        </w:rPr>
        <w:t xml:space="preserve">One team that was formed during the Challenge resulted in the </w:t>
      </w:r>
      <w:r w:rsidR="00827CEA" w:rsidRPr="00025BA2">
        <w:rPr>
          <w:rFonts w:ascii="Trebuchet MS" w:hAnsi="Trebuchet MS" w:cs="Calibri"/>
          <w:sz w:val="23"/>
          <w:szCs w:val="23"/>
        </w:rPr>
        <w:t xml:space="preserve">creation of a statewide team of </w:t>
      </w:r>
      <w:r w:rsidR="004C5CC0" w:rsidRPr="00025BA2">
        <w:rPr>
          <w:rFonts w:ascii="Trebuchet MS" w:hAnsi="Trebuchet MS" w:cs="Calibri"/>
          <w:sz w:val="23"/>
          <w:szCs w:val="23"/>
        </w:rPr>
        <w:t>community-based literacy organizations (</w:t>
      </w:r>
      <w:r w:rsidR="00827CEA" w:rsidRPr="00025BA2">
        <w:rPr>
          <w:rFonts w:ascii="Trebuchet MS" w:hAnsi="Trebuchet MS" w:cs="Calibri"/>
          <w:sz w:val="23"/>
          <w:szCs w:val="23"/>
        </w:rPr>
        <w:t>CB</w:t>
      </w:r>
      <w:r w:rsidR="004C5CC0" w:rsidRPr="00025BA2">
        <w:rPr>
          <w:rFonts w:ascii="Trebuchet MS" w:hAnsi="Trebuchet MS" w:cs="Calibri"/>
          <w:sz w:val="23"/>
          <w:szCs w:val="23"/>
        </w:rPr>
        <w:t>L</w:t>
      </w:r>
      <w:r w:rsidR="00827CEA" w:rsidRPr="00025BA2">
        <w:rPr>
          <w:rFonts w:ascii="Trebuchet MS" w:hAnsi="Trebuchet MS" w:cs="Calibri"/>
          <w:sz w:val="23"/>
          <w:szCs w:val="23"/>
        </w:rPr>
        <w:t>O</w:t>
      </w:r>
      <w:r w:rsidR="004C5CC0" w:rsidRPr="00025BA2">
        <w:rPr>
          <w:rFonts w:ascii="Trebuchet MS" w:hAnsi="Trebuchet MS" w:cs="Calibri"/>
          <w:sz w:val="23"/>
          <w:szCs w:val="23"/>
        </w:rPr>
        <w:t>)</w:t>
      </w:r>
      <w:r w:rsidR="00827CEA" w:rsidRPr="00025BA2">
        <w:rPr>
          <w:rFonts w:ascii="Trebuchet MS" w:hAnsi="Trebuchet MS" w:cs="Calibri"/>
          <w:sz w:val="23"/>
          <w:szCs w:val="23"/>
        </w:rPr>
        <w:t xml:space="preserve"> leaders who were seeking to </w:t>
      </w:r>
      <w:r w:rsidR="00B95FF7" w:rsidRPr="00025BA2">
        <w:rPr>
          <w:rFonts w:ascii="Trebuchet MS" w:hAnsi="Trebuchet MS" w:cs="Calibri"/>
          <w:sz w:val="23"/>
          <w:szCs w:val="23"/>
        </w:rPr>
        <w:t>engage</w:t>
      </w:r>
      <w:r w:rsidR="00827CEA" w:rsidRPr="00025BA2">
        <w:rPr>
          <w:rFonts w:ascii="Trebuchet MS" w:hAnsi="Trebuchet MS" w:cs="Calibri"/>
          <w:sz w:val="23"/>
          <w:szCs w:val="23"/>
        </w:rPr>
        <w:t xml:space="preserve"> a more diverse tutor pool that reflected the population served in their area. Their efforts resulted in an increase in the number of younger</w:t>
      </w:r>
      <w:r w:rsidR="00B95FF7" w:rsidRPr="00025BA2">
        <w:rPr>
          <w:rFonts w:ascii="Trebuchet MS" w:hAnsi="Trebuchet MS" w:cs="Calibri"/>
          <w:sz w:val="23"/>
          <w:szCs w:val="23"/>
        </w:rPr>
        <w:t>, more diverse</w:t>
      </w:r>
      <w:r w:rsidR="00827CEA" w:rsidRPr="00025BA2">
        <w:rPr>
          <w:rFonts w:ascii="Trebuchet MS" w:hAnsi="Trebuchet MS" w:cs="Calibri"/>
          <w:sz w:val="23"/>
          <w:szCs w:val="23"/>
        </w:rPr>
        <w:t xml:space="preserve"> </w:t>
      </w:r>
      <w:r w:rsidR="00B95FF7" w:rsidRPr="00025BA2">
        <w:rPr>
          <w:rFonts w:ascii="Trebuchet MS" w:hAnsi="Trebuchet MS" w:cs="Calibri"/>
          <w:sz w:val="23"/>
          <w:szCs w:val="23"/>
        </w:rPr>
        <w:t>tutors</w:t>
      </w:r>
      <w:r w:rsidR="00827CEA" w:rsidRPr="00025BA2">
        <w:rPr>
          <w:rFonts w:ascii="Trebuchet MS" w:hAnsi="Trebuchet MS" w:cs="Calibri"/>
          <w:sz w:val="23"/>
          <w:szCs w:val="23"/>
        </w:rPr>
        <w:t xml:space="preserve"> (one </w:t>
      </w:r>
      <w:r w:rsidR="00B95FF7" w:rsidRPr="00025BA2">
        <w:rPr>
          <w:rFonts w:ascii="Trebuchet MS" w:hAnsi="Trebuchet MS" w:cs="Calibri"/>
          <w:sz w:val="23"/>
          <w:szCs w:val="23"/>
        </w:rPr>
        <w:t>CBLO</w:t>
      </w:r>
      <w:r w:rsidR="00827CEA" w:rsidRPr="00025BA2">
        <w:rPr>
          <w:rFonts w:ascii="Trebuchet MS" w:hAnsi="Trebuchet MS" w:cs="Calibri"/>
          <w:sz w:val="23"/>
          <w:szCs w:val="23"/>
        </w:rPr>
        <w:t xml:space="preserve"> </w:t>
      </w:r>
      <w:r w:rsidR="00B95FF7" w:rsidRPr="00025BA2">
        <w:rPr>
          <w:rFonts w:ascii="Trebuchet MS" w:hAnsi="Trebuchet MS" w:cs="Calibri"/>
          <w:sz w:val="23"/>
          <w:szCs w:val="23"/>
        </w:rPr>
        <w:t>reported that as a result of their efforts,</w:t>
      </w:r>
      <w:r w:rsidR="00827CEA" w:rsidRPr="00025BA2">
        <w:rPr>
          <w:rFonts w:ascii="Trebuchet MS" w:hAnsi="Trebuchet MS" w:cs="Calibri"/>
          <w:sz w:val="23"/>
          <w:szCs w:val="23"/>
        </w:rPr>
        <w:t xml:space="preserve"> 60% of the new tutors </w:t>
      </w:r>
      <w:r w:rsidR="00B95FF7" w:rsidRPr="00025BA2">
        <w:rPr>
          <w:rFonts w:ascii="Trebuchet MS" w:hAnsi="Trebuchet MS" w:cs="Calibri"/>
          <w:sz w:val="23"/>
          <w:szCs w:val="23"/>
        </w:rPr>
        <w:t xml:space="preserve">were </w:t>
      </w:r>
      <w:r w:rsidR="00827CEA" w:rsidRPr="00025BA2">
        <w:rPr>
          <w:rFonts w:ascii="Trebuchet MS" w:hAnsi="Trebuchet MS" w:cs="Calibri"/>
          <w:sz w:val="23"/>
          <w:szCs w:val="23"/>
        </w:rPr>
        <w:t>under the age of 45 and a shift in racial demographic</w:t>
      </w:r>
      <w:r w:rsidR="004C5CC0" w:rsidRPr="00025BA2">
        <w:rPr>
          <w:rFonts w:ascii="Trebuchet MS" w:hAnsi="Trebuchet MS" w:cs="Calibri"/>
          <w:sz w:val="23"/>
          <w:szCs w:val="23"/>
        </w:rPr>
        <w:t>s</w:t>
      </w:r>
      <w:r w:rsidR="00827CEA" w:rsidRPr="00025BA2">
        <w:rPr>
          <w:rFonts w:ascii="Trebuchet MS" w:hAnsi="Trebuchet MS" w:cs="Calibri"/>
          <w:sz w:val="23"/>
          <w:szCs w:val="23"/>
        </w:rPr>
        <w:t xml:space="preserve"> from almost 100% White to 66% White, 15% Asian, 9% Black, and 9% Multiracial). </w:t>
      </w:r>
      <w:r w:rsidR="004C5CC0" w:rsidRPr="00025BA2">
        <w:rPr>
          <w:rFonts w:ascii="Trebuchet MS" w:hAnsi="Trebuchet MS" w:cs="Calibri"/>
          <w:sz w:val="23"/>
          <w:szCs w:val="23"/>
        </w:rPr>
        <w:t>The VDOE encourages the s</w:t>
      </w:r>
      <w:r w:rsidR="00827CEA" w:rsidRPr="00025BA2">
        <w:rPr>
          <w:rFonts w:ascii="Trebuchet MS" w:hAnsi="Trebuchet MS" w:cs="Calibri"/>
          <w:sz w:val="23"/>
          <w:szCs w:val="23"/>
        </w:rPr>
        <w:t xml:space="preserve">trengthening </w:t>
      </w:r>
      <w:r w:rsidR="004C5CC0" w:rsidRPr="00025BA2">
        <w:rPr>
          <w:rFonts w:ascii="Trebuchet MS" w:hAnsi="Trebuchet MS" w:cs="Calibri"/>
          <w:sz w:val="23"/>
          <w:szCs w:val="23"/>
        </w:rPr>
        <w:t>of</w:t>
      </w:r>
      <w:r w:rsidR="00827CEA" w:rsidRPr="00025BA2">
        <w:rPr>
          <w:rFonts w:ascii="Trebuchet MS" w:hAnsi="Trebuchet MS" w:cs="Calibri"/>
          <w:sz w:val="23"/>
          <w:szCs w:val="23"/>
        </w:rPr>
        <w:t xml:space="preserve"> CBLO</w:t>
      </w:r>
      <w:r w:rsidR="004C5CC0" w:rsidRPr="00025BA2">
        <w:rPr>
          <w:rFonts w:ascii="Trebuchet MS" w:hAnsi="Trebuchet MS" w:cs="Calibri"/>
          <w:sz w:val="23"/>
          <w:szCs w:val="23"/>
        </w:rPr>
        <w:t xml:space="preserve"> and AEFLA</w:t>
      </w:r>
      <w:r w:rsidR="00827CEA" w:rsidRPr="00025BA2">
        <w:rPr>
          <w:rFonts w:ascii="Trebuchet MS" w:hAnsi="Trebuchet MS" w:cs="Calibri"/>
          <w:sz w:val="23"/>
          <w:szCs w:val="23"/>
        </w:rPr>
        <w:t xml:space="preserve"> partner</w:t>
      </w:r>
      <w:r w:rsidR="004C5CC0" w:rsidRPr="00025BA2">
        <w:rPr>
          <w:rFonts w:ascii="Trebuchet MS" w:hAnsi="Trebuchet MS" w:cs="Calibri"/>
          <w:sz w:val="23"/>
          <w:szCs w:val="23"/>
        </w:rPr>
        <w:t>ships that can</w:t>
      </w:r>
      <w:r w:rsidR="00827CEA" w:rsidRPr="00025BA2">
        <w:rPr>
          <w:rFonts w:ascii="Trebuchet MS" w:hAnsi="Trebuchet MS" w:cs="Calibri"/>
          <w:sz w:val="23"/>
          <w:szCs w:val="23"/>
        </w:rPr>
        <w:t xml:space="preserve"> provid</w:t>
      </w:r>
      <w:r w:rsidR="004C5CC0" w:rsidRPr="00025BA2">
        <w:rPr>
          <w:rFonts w:ascii="Trebuchet MS" w:hAnsi="Trebuchet MS" w:cs="Calibri"/>
          <w:sz w:val="23"/>
          <w:szCs w:val="23"/>
        </w:rPr>
        <w:t>e</w:t>
      </w:r>
      <w:r w:rsidR="00827CEA" w:rsidRPr="00025BA2">
        <w:rPr>
          <w:rFonts w:ascii="Trebuchet MS" w:hAnsi="Trebuchet MS" w:cs="Calibri"/>
          <w:sz w:val="23"/>
          <w:szCs w:val="23"/>
        </w:rPr>
        <w:t xml:space="preserve"> additional time </w:t>
      </w:r>
      <w:r w:rsidR="004C5CC0" w:rsidRPr="00025BA2">
        <w:rPr>
          <w:rFonts w:ascii="Trebuchet MS" w:hAnsi="Trebuchet MS" w:cs="Calibri"/>
          <w:sz w:val="23"/>
          <w:szCs w:val="23"/>
        </w:rPr>
        <w:t xml:space="preserve">and personalization </w:t>
      </w:r>
      <w:r w:rsidR="00827CEA" w:rsidRPr="00025BA2">
        <w:rPr>
          <w:rFonts w:ascii="Trebuchet MS" w:hAnsi="Trebuchet MS" w:cs="Calibri"/>
          <w:sz w:val="23"/>
          <w:szCs w:val="23"/>
        </w:rPr>
        <w:t>with learners to reinforce classroom instruction and enhanc</w:t>
      </w:r>
      <w:r w:rsidR="00B95FF7" w:rsidRPr="00025BA2">
        <w:rPr>
          <w:rFonts w:ascii="Trebuchet MS" w:hAnsi="Trebuchet MS" w:cs="Calibri"/>
          <w:sz w:val="23"/>
          <w:szCs w:val="23"/>
        </w:rPr>
        <w:t>e</w:t>
      </w:r>
      <w:r w:rsidR="00827CEA" w:rsidRPr="00025BA2">
        <w:rPr>
          <w:rFonts w:ascii="Trebuchet MS" w:hAnsi="Trebuchet MS" w:cs="Calibri"/>
          <w:sz w:val="23"/>
          <w:szCs w:val="23"/>
        </w:rPr>
        <w:t xml:space="preserve"> students’ comprehension and </w:t>
      </w:r>
      <w:r w:rsidR="00B95FF7" w:rsidRPr="00025BA2">
        <w:rPr>
          <w:rFonts w:ascii="Trebuchet MS" w:hAnsi="Trebuchet MS" w:cs="Calibri"/>
          <w:sz w:val="23"/>
          <w:szCs w:val="23"/>
        </w:rPr>
        <w:t>goal attainment</w:t>
      </w:r>
      <w:r w:rsidR="00827CEA" w:rsidRPr="00025BA2">
        <w:rPr>
          <w:rFonts w:ascii="Trebuchet MS" w:hAnsi="Trebuchet MS" w:cs="Calibri"/>
          <w:sz w:val="23"/>
          <w:szCs w:val="23"/>
        </w:rPr>
        <w:t>.</w:t>
      </w:r>
    </w:p>
    <w:p w14:paraId="5766EFC4" w14:textId="31DE829C" w:rsidR="002A4BE2" w:rsidRPr="00025BA2" w:rsidRDefault="001B3783" w:rsidP="0043288B">
      <w:pPr>
        <w:rPr>
          <w:rFonts w:ascii="Trebuchet MS" w:hAnsi="Trebuchet MS" w:cs="Calibri"/>
          <w:sz w:val="23"/>
          <w:szCs w:val="23"/>
        </w:rPr>
      </w:pPr>
      <w:r w:rsidRPr="003B0A0B">
        <w:rPr>
          <w:rFonts w:ascii="Trebuchet MS" w:hAnsi="Trebuchet MS" w:cs="Calibri"/>
          <w:sz w:val="23"/>
          <w:szCs w:val="23"/>
        </w:rPr>
        <w:t xml:space="preserve">Virginia trained 24 adult education practitioners in the </w:t>
      </w:r>
      <w:r w:rsidRPr="003B0A0B">
        <w:rPr>
          <w:rFonts w:ascii="Trebuchet MS" w:hAnsi="Trebuchet MS" w:cs="Calibri"/>
          <w:i/>
          <w:sz w:val="23"/>
          <w:szCs w:val="23"/>
        </w:rPr>
        <w:t>Virginia Career Coach Certification</w:t>
      </w:r>
      <w:r w:rsidRPr="003B0A0B">
        <w:rPr>
          <w:rFonts w:ascii="Trebuchet MS" w:hAnsi="Trebuchet MS" w:cs="Calibri"/>
          <w:sz w:val="23"/>
          <w:szCs w:val="23"/>
        </w:rPr>
        <w:t xml:space="preserve"> course.</w:t>
      </w:r>
      <w:r w:rsidR="003C005B" w:rsidRPr="00025BA2">
        <w:rPr>
          <w:rFonts w:ascii="Trebuchet MS" w:hAnsi="Trebuchet MS" w:cs="Calibri"/>
          <w:sz w:val="23"/>
          <w:szCs w:val="23"/>
        </w:rPr>
        <w:t xml:space="preserve"> This virtual course consisted of self-paced modules and </w:t>
      </w:r>
      <w:r w:rsidR="009E730D" w:rsidRPr="00025BA2">
        <w:rPr>
          <w:rFonts w:ascii="Trebuchet MS" w:hAnsi="Trebuchet MS" w:cs="Calibri"/>
          <w:sz w:val="23"/>
          <w:szCs w:val="23"/>
        </w:rPr>
        <w:t xml:space="preserve">the </w:t>
      </w:r>
      <w:r w:rsidR="003C005B" w:rsidRPr="00025BA2">
        <w:rPr>
          <w:rFonts w:ascii="Trebuchet MS" w:hAnsi="Trebuchet MS" w:cs="Calibri"/>
          <w:sz w:val="23"/>
          <w:szCs w:val="23"/>
        </w:rPr>
        <w:t xml:space="preserve">facilitation of synchronous group sessions. </w:t>
      </w:r>
      <w:r w:rsidR="009E730D" w:rsidRPr="00025BA2">
        <w:rPr>
          <w:rFonts w:ascii="Trebuchet MS" w:hAnsi="Trebuchet MS" w:cs="Calibri"/>
          <w:sz w:val="23"/>
          <w:szCs w:val="23"/>
        </w:rPr>
        <w:t xml:space="preserve">This </w:t>
      </w:r>
      <w:r w:rsidR="003C005B" w:rsidRPr="00025BA2">
        <w:rPr>
          <w:rFonts w:ascii="Trebuchet MS" w:hAnsi="Trebuchet MS" w:cs="Calibri"/>
          <w:sz w:val="23"/>
          <w:szCs w:val="23"/>
        </w:rPr>
        <w:t xml:space="preserve">course provided the first of two components required prior to application for the Global Career Development </w:t>
      </w:r>
      <w:r w:rsidR="008F7860" w:rsidRPr="00025BA2">
        <w:rPr>
          <w:rFonts w:ascii="Trebuchet MS" w:hAnsi="Trebuchet MS" w:cs="Calibri"/>
          <w:sz w:val="23"/>
          <w:szCs w:val="23"/>
        </w:rPr>
        <w:t>Facilitator</w:t>
      </w:r>
      <w:r w:rsidR="003C005B" w:rsidRPr="00025BA2">
        <w:rPr>
          <w:rFonts w:ascii="Trebuchet MS" w:hAnsi="Trebuchet MS" w:cs="Calibri"/>
          <w:sz w:val="23"/>
          <w:szCs w:val="23"/>
        </w:rPr>
        <w:t xml:space="preserve"> (GCDF) credential</w:t>
      </w:r>
      <w:r w:rsidR="009E730D" w:rsidRPr="00025BA2">
        <w:rPr>
          <w:rFonts w:ascii="Trebuchet MS" w:hAnsi="Trebuchet MS" w:cs="Calibri"/>
          <w:sz w:val="23"/>
          <w:szCs w:val="23"/>
        </w:rPr>
        <w:t>,</w:t>
      </w:r>
      <w:r w:rsidR="00070D04" w:rsidRPr="00025BA2">
        <w:rPr>
          <w:rFonts w:ascii="Trebuchet MS" w:hAnsi="Trebuchet MS" w:cs="Calibri"/>
          <w:sz w:val="23"/>
          <w:szCs w:val="23"/>
        </w:rPr>
        <w:t xml:space="preserve"> which is administered by the Center for </w:t>
      </w:r>
      <w:r w:rsidR="008F7860" w:rsidRPr="00025BA2">
        <w:rPr>
          <w:rFonts w:ascii="Trebuchet MS" w:hAnsi="Trebuchet MS" w:cs="Calibri"/>
          <w:sz w:val="23"/>
          <w:szCs w:val="23"/>
        </w:rPr>
        <w:t>Credentialing</w:t>
      </w:r>
      <w:r w:rsidR="00070D04" w:rsidRPr="00025BA2">
        <w:rPr>
          <w:rFonts w:ascii="Trebuchet MS" w:hAnsi="Trebuchet MS" w:cs="Calibri"/>
          <w:sz w:val="23"/>
          <w:szCs w:val="23"/>
        </w:rPr>
        <w:t xml:space="preserve"> in Education (CCE)</w:t>
      </w:r>
      <w:r w:rsidR="009E730D" w:rsidRPr="00025BA2">
        <w:rPr>
          <w:rFonts w:ascii="Trebuchet MS" w:hAnsi="Trebuchet MS" w:cs="Calibri"/>
          <w:sz w:val="23"/>
          <w:szCs w:val="23"/>
        </w:rPr>
        <w:t>,</w:t>
      </w:r>
      <w:r w:rsidR="00070D04" w:rsidRPr="00025BA2">
        <w:rPr>
          <w:rFonts w:ascii="Trebuchet MS" w:hAnsi="Trebuchet MS" w:cs="Calibri"/>
          <w:sz w:val="23"/>
          <w:szCs w:val="23"/>
        </w:rPr>
        <w:t xml:space="preserve"> and the Certified Career </w:t>
      </w:r>
      <w:r w:rsidR="008F7860" w:rsidRPr="00025BA2">
        <w:rPr>
          <w:rFonts w:ascii="Trebuchet MS" w:hAnsi="Trebuchet MS" w:cs="Calibri"/>
          <w:sz w:val="23"/>
          <w:szCs w:val="23"/>
        </w:rPr>
        <w:t>Services</w:t>
      </w:r>
      <w:r w:rsidR="00070D04" w:rsidRPr="00025BA2">
        <w:rPr>
          <w:rFonts w:ascii="Trebuchet MS" w:hAnsi="Trebuchet MS" w:cs="Calibri"/>
          <w:sz w:val="23"/>
          <w:szCs w:val="23"/>
        </w:rPr>
        <w:t xml:space="preserve"> Provider (CCSP) </w:t>
      </w:r>
      <w:r w:rsidR="008F7860" w:rsidRPr="00025BA2">
        <w:rPr>
          <w:rFonts w:ascii="Trebuchet MS" w:hAnsi="Trebuchet MS" w:cs="Calibri"/>
          <w:sz w:val="23"/>
          <w:szCs w:val="23"/>
        </w:rPr>
        <w:t>credential</w:t>
      </w:r>
      <w:r w:rsidR="00070D04" w:rsidRPr="00025BA2">
        <w:rPr>
          <w:rFonts w:ascii="Trebuchet MS" w:hAnsi="Trebuchet MS" w:cs="Calibri"/>
          <w:sz w:val="23"/>
          <w:szCs w:val="23"/>
        </w:rPr>
        <w:t xml:space="preserve"> administered by the National Career Development Association (NCDA</w:t>
      </w:r>
      <w:r w:rsidR="008F7860" w:rsidRPr="00025BA2">
        <w:rPr>
          <w:rFonts w:ascii="Trebuchet MS" w:hAnsi="Trebuchet MS" w:cs="Calibri"/>
          <w:sz w:val="23"/>
          <w:szCs w:val="23"/>
        </w:rPr>
        <w:t>).</w:t>
      </w:r>
      <w:r w:rsidR="003C005B" w:rsidRPr="00025BA2">
        <w:rPr>
          <w:rFonts w:ascii="Trebuchet MS" w:hAnsi="Trebuchet MS" w:cs="Calibri"/>
          <w:sz w:val="23"/>
          <w:szCs w:val="23"/>
        </w:rPr>
        <w:t xml:space="preserve"> </w:t>
      </w:r>
      <w:r w:rsidR="00B30110" w:rsidRPr="00025BA2">
        <w:rPr>
          <w:rFonts w:ascii="Trebuchet MS" w:hAnsi="Trebuchet MS" w:cs="Calibri"/>
          <w:sz w:val="23"/>
          <w:szCs w:val="23"/>
        </w:rPr>
        <w:t>Twenty</w:t>
      </w:r>
      <w:r w:rsidR="00B95FF7" w:rsidRPr="00025BA2">
        <w:rPr>
          <w:rFonts w:ascii="Trebuchet MS" w:hAnsi="Trebuchet MS" w:cs="Calibri"/>
          <w:sz w:val="23"/>
          <w:szCs w:val="23"/>
        </w:rPr>
        <w:t xml:space="preserve"> </w:t>
      </w:r>
      <w:r w:rsidR="00B95FF7" w:rsidRPr="00025BA2">
        <w:rPr>
          <w:rFonts w:ascii="Trebuchet MS" w:hAnsi="Trebuchet MS" w:cs="Calibri"/>
          <w:sz w:val="23"/>
          <w:szCs w:val="23"/>
        </w:rPr>
        <w:lastRenderedPageBreak/>
        <w:t>participants are continuing their involvement</w:t>
      </w:r>
      <w:r w:rsidR="003C005B" w:rsidRPr="00025BA2">
        <w:rPr>
          <w:rFonts w:ascii="Trebuchet MS" w:hAnsi="Trebuchet MS" w:cs="Calibri"/>
          <w:sz w:val="23"/>
          <w:szCs w:val="23"/>
        </w:rPr>
        <w:t xml:space="preserve"> </w:t>
      </w:r>
      <w:r w:rsidR="00070D04" w:rsidRPr="00025BA2">
        <w:rPr>
          <w:rFonts w:ascii="Trebuchet MS" w:hAnsi="Trebuchet MS" w:cs="Calibri"/>
          <w:sz w:val="23"/>
          <w:szCs w:val="23"/>
        </w:rPr>
        <w:t xml:space="preserve">towards certification in the </w:t>
      </w:r>
      <w:r w:rsidR="00B30110" w:rsidRPr="00025BA2">
        <w:rPr>
          <w:rFonts w:ascii="Trebuchet MS" w:hAnsi="Trebuchet MS" w:cs="Calibri"/>
          <w:sz w:val="23"/>
          <w:szCs w:val="23"/>
        </w:rPr>
        <w:t>PY</w:t>
      </w:r>
      <w:r w:rsidR="00070D04" w:rsidRPr="00025BA2">
        <w:rPr>
          <w:rFonts w:ascii="Trebuchet MS" w:hAnsi="Trebuchet MS" w:cs="Calibri"/>
          <w:sz w:val="23"/>
          <w:szCs w:val="23"/>
        </w:rPr>
        <w:t>2021-</w:t>
      </w:r>
      <w:r w:rsidR="00B30110" w:rsidRPr="00025BA2">
        <w:rPr>
          <w:rFonts w:ascii="Trebuchet MS" w:hAnsi="Trebuchet MS" w:cs="Calibri"/>
          <w:sz w:val="23"/>
          <w:szCs w:val="23"/>
        </w:rPr>
        <w:t>20</w:t>
      </w:r>
      <w:r w:rsidR="00070D04" w:rsidRPr="00025BA2">
        <w:rPr>
          <w:rFonts w:ascii="Trebuchet MS" w:hAnsi="Trebuchet MS" w:cs="Calibri"/>
          <w:sz w:val="23"/>
          <w:szCs w:val="23"/>
        </w:rPr>
        <w:t>22 year.</w:t>
      </w:r>
      <w:r w:rsidR="003C005B" w:rsidRPr="00025BA2">
        <w:rPr>
          <w:rFonts w:ascii="Trebuchet MS" w:hAnsi="Trebuchet MS" w:cs="Calibri"/>
          <w:sz w:val="23"/>
          <w:szCs w:val="23"/>
        </w:rPr>
        <w:t xml:space="preserve"> </w:t>
      </w:r>
      <w:r>
        <w:rPr>
          <w:rFonts w:ascii="Trebuchet MS" w:hAnsi="Trebuchet MS" w:cs="Calibri"/>
          <w:sz w:val="23"/>
          <w:szCs w:val="23"/>
        </w:rPr>
        <w:t xml:space="preserve">These practitioners are already serving as career coaches in their adult education programs. </w:t>
      </w:r>
    </w:p>
    <w:p w14:paraId="18350F35" w14:textId="68D94E7A" w:rsidR="00E537FE" w:rsidRPr="00025BA2" w:rsidRDefault="00E537FE" w:rsidP="00F86CEA">
      <w:pPr>
        <w:spacing w:before="120" w:after="120"/>
        <w:rPr>
          <w:rFonts w:ascii="Trebuchet MS" w:hAnsi="Trebuchet MS" w:cs="Calibri"/>
          <w:sz w:val="23"/>
          <w:szCs w:val="23"/>
          <w:shd w:val="clear" w:color="auto" w:fill="FFF2CC"/>
        </w:rPr>
      </w:pPr>
      <w:r w:rsidRPr="00025BA2">
        <w:rPr>
          <w:rFonts w:ascii="Trebuchet MS" w:hAnsi="Trebuchet MS" w:cs="Calibri"/>
          <w:color w:val="000000"/>
          <w:sz w:val="23"/>
          <w:szCs w:val="23"/>
        </w:rPr>
        <w:t xml:space="preserve">In support of the requirement </w:t>
      </w:r>
      <w:r w:rsidR="009E730D" w:rsidRPr="00025BA2">
        <w:rPr>
          <w:rFonts w:ascii="Trebuchet MS" w:hAnsi="Trebuchet MS" w:cs="Calibri"/>
          <w:color w:val="000000"/>
          <w:sz w:val="23"/>
          <w:szCs w:val="23"/>
        </w:rPr>
        <w:t xml:space="preserve">in </w:t>
      </w:r>
      <w:r w:rsidRPr="00025BA2">
        <w:rPr>
          <w:rFonts w:ascii="Trebuchet MS" w:hAnsi="Trebuchet MS" w:cs="Calibri"/>
          <w:b/>
          <w:color w:val="000000"/>
          <w:sz w:val="23"/>
          <w:szCs w:val="23"/>
        </w:rPr>
        <w:t>Sec. 223</w:t>
      </w:r>
      <w:r w:rsidR="00481069" w:rsidRPr="00025BA2">
        <w:rPr>
          <w:rFonts w:ascii="Trebuchet MS" w:hAnsi="Trebuchet MS" w:cs="Calibri"/>
          <w:b/>
          <w:color w:val="000000"/>
          <w:sz w:val="23"/>
          <w:szCs w:val="23"/>
        </w:rPr>
        <w:t>(</w:t>
      </w:r>
      <w:r w:rsidRPr="00025BA2">
        <w:rPr>
          <w:rFonts w:ascii="Trebuchet MS" w:hAnsi="Trebuchet MS" w:cs="Calibri"/>
          <w:b/>
          <w:color w:val="000000"/>
          <w:sz w:val="23"/>
          <w:szCs w:val="23"/>
        </w:rPr>
        <w:t>1)(</w:t>
      </w:r>
      <w:r w:rsidR="00481069" w:rsidRPr="00025BA2">
        <w:rPr>
          <w:rFonts w:ascii="Trebuchet MS" w:hAnsi="Trebuchet MS" w:cs="Calibri"/>
          <w:b/>
          <w:color w:val="000000"/>
          <w:sz w:val="23"/>
          <w:szCs w:val="23"/>
        </w:rPr>
        <w:t>c</w:t>
      </w:r>
      <w:r w:rsidRPr="00025BA2">
        <w:rPr>
          <w:rFonts w:ascii="Trebuchet MS" w:hAnsi="Trebuchet MS" w:cs="Calibri"/>
          <w:b/>
          <w:color w:val="000000"/>
          <w:sz w:val="23"/>
          <w:szCs w:val="23"/>
        </w:rPr>
        <w:t>), the provision of technical assistance</w:t>
      </w:r>
      <w:r w:rsidRPr="00025BA2">
        <w:rPr>
          <w:rFonts w:ascii="Trebuchet MS" w:hAnsi="Trebuchet MS" w:cs="Calibri"/>
          <w:color w:val="000000"/>
          <w:sz w:val="23"/>
          <w:szCs w:val="23"/>
        </w:rPr>
        <w:t xml:space="preserve">, </w:t>
      </w:r>
      <w:r w:rsidR="00C07493" w:rsidRPr="00025BA2">
        <w:rPr>
          <w:rFonts w:ascii="Trebuchet MS" w:hAnsi="Trebuchet MS" w:cs="Calibri"/>
          <w:color w:val="000000"/>
          <w:sz w:val="23"/>
          <w:szCs w:val="23"/>
        </w:rPr>
        <w:t xml:space="preserve">the </w:t>
      </w:r>
      <w:r w:rsidRPr="00025BA2">
        <w:rPr>
          <w:rFonts w:ascii="Trebuchet MS" w:hAnsi="Trebuchet MS" w:cs="Calibri"/>
          <w:color w:val="000000"/>
          <w:sz w:val="23"/>
          <w:szCs w:val="23"/>
        </w:rPr>
        <w:t>VDOE provides technical assistance and guidance to eligible providers by sharing promising practices on high-quality, research-based instruction and programming</w:t>
      </w:r>
      <w:r w:rsidR="004160D9" w:rsidRPr="00025BA2">
        <w:rPr>
          <w:rFonts w:ascii="Trebuchet MS" w:hAnsi="Trebuchet MS" w:cs="Calibri"/>
          <w:color w:val="000000"/>
          <w:sz w:val="23"/>
          <w:szCs w:val="23"/>
        </w:rPr>
        <w:t xml:space="preserve">; </w:t>
      </w:r>
      <w:r w:rsidRPr="00025BA2">
        <w:rPr>
          <w:rFonts w:ascii="Trebuchet MS" w:hAnsi="Trebuchet MS" w:cs="Calibri"/>
          <w:color w:val="000000"/>
          <w:sz w:val="23"/>
          <w:szCs w:val="23"/>
        </w:rPr>
        <w:t>program accountability</w:t>
      </w:r>
      <w:r w:rsidR="004160D9" w:rsidRPr="00025BA2">
        <w:rPr>
          <w:rFonts w:ascii="Trebuchet MS" w:hAnsi="Trebuchet MS" w:cs="Calibri"/>
          <w:color w:val="000000"/>
          <w:sz w:val="23"/>
          <w:szCs w:val="23"/>
        </w:rPr>
        <w:t xml:space="preserve">; </w:t>
      </w:r>
      <w:r w:rsidRPr="00025BA2">
        <w:rPr>
          <w:rFonts w:ascii="Trebuchet MS" w:hAnsi="Trebuchet MS" w:cs="Calibri"/>
          <w:color w:val="000000"/>
          <w:sz w:val="23"/>
          <w:szCs w:val="23"/>
        </w:rPr>
        <w:t xml:space="preserve">and serving effectively as a one-stop partner. Technical assistance needs are solicited from program managers throughout the year </w:t>
      </w:r>
      <w:r w:rsidR="00CA3EED" w:rsidRPr="00025BA2">
        <w:rPr>
          <w:rFonts w:ascii="Trebuchet MS" w:hAnsi="Trebuchet MS" w:cs="Calibri"/>
          <w:color w:val="000000"/>
          <w:sz w:val="23"/>
          <w:szCs w:val="23"/>
        </w:rPr>
        <w:t>and are</w:t>
      </w:r>
      <w:r w:rsidRPr="00025BA2">
        <w:rPr>
          <w:rFonts w:ascii="Trebuchet MS" w:hAnsi="Trebuchet MS" w:cs="Calibri"/>
          <w:color w:val="000000"/>
          <w:sz w:val="23"/>
          <w:szCs w:val="23"/>
        </w:rPr>
        <w:t xml:space="preserve"> </w:t>
      </w:r>
      <w:r w:rsidR="004160D9" w:rsidRPr="00025BA2">
        <w:rPr>
          <w:rFonts w:ascii="Trebuchet MS" w:hAnsi="Trebuchet MS" w:cs="Calibri"/>
          <w:color w:val="000000"/>
          <w:sz w:val="23"/>
          <w:szCs w:val="23"/>
        </w:rPr>
        <w:t>informed by</w:t>
      </w:r>
      <w:r w:rsidRPr="00025BA2">
        <w:rPr>
          <w:rFonts w:ascii="Trebuchet MS" w:hAnsi="Trebuchet MS" w:cs="Calibri"/>
          <w:color w:val="000000"/>
          <w:sz w:val="23"/>
          <w:szCs w:val="23"/>
        </w:rPr>
        <w:t xml:space="preserve"> the results of </w:t>
      </w:r>
      <w:r w:rsidR="004160D9" w:rsidRPr="00025BA2">
        <w:rPr>
          <w:rFonts w:ascii="Trebuchet MS" w:hAnsi="Trebuchet MS" w:cs="Calibri"/>
          <w:color w:val="000000"/>
          <w:sz w:val="23"/>
          <w:szCs w:val="23"/>
        </w:rPr>
        <w:t xml:space="preserve">the </w:t>
      </w:r>
      <w:r w:rsidRPr="00025BA2">
        <w:rPr>
          <w:rFonts w:ascii="Trebuchet MS" w:hAnsi="Trebuchet MS" w:cs="Calibri"/>
          <w:color w:val="000000"/>
          <w:sz w:val="23"/>
          <w:szCs w:val="23"/>
        </w:rPr>
        <w:t xml:space="preserve">VDOE’s monitoring and evaluation efforts, described below. </w:t>
      </w:r>
    </w:p>
    <w:p w14:paraId="46952BBC" w14:textId="06D48A9C" w:rsidR="00E537FE" w:rsidRPr="00025BA2" w:rsidRDefault="00503348" w:rsidP="00471583">
      <w:pPr>
        <w:spacing w:before="120" w:after="120"/>
        <w:rPr>
          <w:rFonts w:ascii="Trebuchet MS" w:hAnsi="Trebuchet MS" w:cs="Calibri"/>
          <w:sz w:val="23"/>
          <w:szCs w:val="23"/>
        </w:rPr>
      </w:pPr>
      <w:r w:rsidRPr="00025BA2">
        <w:rPr>
          <w:rFonts w:ascii="Trebuchet MS" w:hAnsi="Trebuchet MS" w:cs="Calibri"/>
          <w:color w:val="000000"/>
          <w:sz w:val="23"/>
          <w:szCs w:val="23"/>
        </w:rPr>
        <w:t xml:space="preserve">The </w:t>
      </w:r>
      <w:r w:rsidR="00E537FE" w:rsidRPr="00025BA2">
        <w:rPr>
          <w:rFonts w:ascii="Trebuchet MS" w:hAnsi="Trebuchet MS" w:cs="Calibri"/>
          <w:color w:val="000000"/>
          <w:sz w:val="23"/>
          <w:szCs w:val="23"/>
        </w:rPr>
        <w:t xml:space="preserve">VALRC partners with </w:t>
      </w:r>
      <w:r w:rsidR="00CA3EED" w:rsidRPr="00025BA2">
        <w:rPr>
          <w:rFonts w:ascii="Trebuchet MS" w:hAnsi="Trebuchet MS" w:cs="Calibri"/>
          <w:color w:val="000000"/>
          <w:sz w:val="23"/>
          <w:szCs w:val="23"/>
        </w:rPr>
        <w:t xml:space="preserve">the </w:t>
      </w:r>
      <w:r w:rsidR="00E537FE" w:rsidRPr="00025BA2">
        <w:rPr>
          <w:rFonts w:ascii="Trebuchet MS" w:hAnsi="Trebuchet MS" w:cs="Calibri"/>
          <w:color w:val="000000"/>
          <w:sz w:val="23"/>
          <w:szCs w:val="23"/>
        </w:rPr>
        <w:t>VDOE in providing technical assistance. VALRC disseminates resources through its publications, websites</w:t>
      </w:r>
      <w:r w:rsidR="004160D9" w:rsidRPr="00025BA2">
        <w:rPr>
          <w:rFonts w:ascii="Trebuchet MS" w:hAnsi="Trebuchet MS" w:cs="Calibri"/>
          <w:color w:val="000000"/>
          <w:sz w:val="23"/>
          <w:szCs w:val="23"/>
        </w:rPr>
        <w:t>,</w:t>
      </w:r>
      <w:r w:rsidR="00E537FE" w:rsidRPr="00025BA2">
        <w:rPr>
          <w:rFonts w:ascii="Trebuchet MS" w:hAnsi="Trebuchet MS" w:cs="Calibri"/>
          <w:color w:val="000000"/>
          <w:sz w:val="23"/>
          <w:szCs w:val="23"/>
        </w:rPr>
        <w:t xml:space="preserve"> and listservs. Primary areas of focus include </w:t>
      </w:r>
      <w:r w:rsidR="00B759BA">
        <w:rPr>
          <w:rFonts w:ascii="Trebuchet MS" w:hAnsi="Trebuchet MS" w:cs="Calibri"/>
          <w:color w:val="000000"/>
          <w:sz w:val="23"/>
          <w:szCs w:val="23"/>
        </w:rPr>
        <w:t>standards based instruction (S</w:t>
      </w:r>
      <w:r w:rsidR="00BE55D5" w:rsidRPr="00025BA2">
        <w:rPr>
          <w:rFonts w:ascii="Trebuchet MS" w:hAnsi="Trebuchet MS" w:cs="Calibri"/>
          <w:color w:val="000000"/>
          <w:sz w:val="23"/>
          <w:szCs w:val="23"/>
        </w:rPr>
        <w:t>BI</w:t>
      </w:r>
      <w:r w:rsidR="00B759BA">
        <w:rPr>
          <w:rFonts w:ascii="Trebuchet MS" w:hAnsi="Trebuchet MS" w:cs="Calibri"/>
          <w:color w:val="000000"/>
          <w:sz w:val="23"/>
          <w:szCs w:val="23"/>
        </w:rPr>
        <w:t>)</w:t>
      </w:r>
      <w:r w:rsidR="00E537FE" w:rsidRPr="00025BA2">
        <w:rPr>
          <w:rFonts w:ascii="Trebuchet MS" w:hAnsi="Trebuchet MS" w:cs="Calibri"/>
          <w:color w:val="000000"/>
          <w:sz w:val="23"/>
          <w:szCs w:val="23"/>
        </w:rPr>
        <w:t xml:space="preserve"> and implementation guidance</w:t>
      </w:r>
      <w:r w:rsidR="004C5CC0" w:rsidRPr="00025BA2">
        <w:rPr>
          <w:rFonts w:ascii="Trebuchet MS" w:hAnsi="Trebuchet MS" w:cs="Calibri"/>
          <w:color w:val="000000"/>
          <w:sz w:val="23"/>
          <w:szCs w:val="23"/>
        </w:rPr>
        <w:t>;</w:t>
      </w:r>
      <w:r w:rsidR="00E537FE" w:rsidRPr="00025BA2">
        <w:rPr>
          <w:rFonts w:ascii="Trebuchet MS" w:hAnsi="Trebuchet MS" w:cs="Calibri"/>
          <w:color w:val="000000"/>
          <w:sz w:val="23"/>
          <w:szCs w:val="23"/>
        </w:rPr>
        <w:t xml:space="preserve"> distance education</w:t>
      </w:r>
      <w:r w:rsidR="0092178C" w:rsidRPr="00025BA2">
        <w:rPr>
          <w:rFonts w:ascii="Trebuchet MS" w:hAnsi="Trebuchet MS" w:cs="Calibri"/>
          <w:color w:val="000000"/>
          <w:sz w:val="23"/>
          <w:szCs w:val="23"/>
        </w:rPr>
        <w:t>;</w:t>
      </w:r>
      <w:r w:rsidR="000F5F25" w:rsidRPr="00025BA2">
        <w:rPr>
          <w:rFonts w:ascii="Trebuchet MS" w:hAnsi="Trebuchet MS" w:cs="Calibri"/>
          <w:color w:val="000000"/>
          <w:sz w:val="23"/>
          <w:szCs w:val="23"/>
        </w:rPr>
        <w:t xml:space="preserve"> data </w:t>
      </w:r>
      <w:r w:rsidR="00C66B4A" w:rsidRPr="00025BA2">
        <w:rPr>
          <w:rFonts w:ascii="Trebuchet MS" w:hAnsi="Trebuchet MS" w:cs="Calibri"/>
          <w:color w:val="000000"/>
          <w:sz w:val="23"/>
          <w:szCs w:val="23"/>
        </w:rPr>
        <w:t>reporting, analysis</w:t>
      </w:r>
      <w:r w:rsidR="0092178C" w:rsidRPr="00025BA2">
        <w:rPr>
          <w:rFonts w:ascii="Trebuchet MS" w:hAnsi="Trebuchet MS" w:cs="Calibri"/>
          <w:color w:val="000000"/>
          <w:sz w:val="23"/>
          <w:szCs w:val="23"/>
        </w:rPr>
        <w:t>,</w:t>
      </w:r>
      <w:r w:rsidR="00C66B4A" w:rsidRPr="00025BA2">
        <w:rPr>
          <w:rFonts w:ascii="Trebuchet MS" w:hAnsi="Trebuchet MS" w:cs="Calibri"/>
          <w:color w:val="000000"/>
          <w:sz w:val="23"/>
          <w:szCs w:val="23"/>
        </w:rPr>
        <w:t xml:space="preserve"> and use</w:t>
      </w:r>
      <w:r w:rsidR="0092178C" w:rsidRPr="00025BA2">
        <w:rPr>
          <w:rFonts w:ascii="Trebuchet MS" w:hAnsi="Trebuchet MS" w:cs="Calibri"/>
          <w:color w:val="000000"/>
          <w:sz w:val="23"/>
          <w:szCs w:val="23"/>
        </w:rPr>
        <w:t>;</w:t>
      </w:r>
      <w:r w:rsidR="00C66B4A" w:rsidRPr="00025BA2">
        <w:rPr>
          <w:rFonts w:ascii="Trebuchet MS" w:hAnsi="Trebuchet MS" w:cs="Calibri"/>
          <w:color w:val="000000"/>
          <w:sz w:val="23"/>
          <w:szCs w:val="23"/>
        </w:rPr>
        <w:t xml:space="preserve"> </w:t>
      </w:r>
      <w:r w:rsidR="00E537FE" w:rsidRPr="00025BA2">
        <w:rPr>
          <w:rFonts w:ascii="Trebuchet MS" w:hAnsi="Trebuchet MS" w:cs="Calibri"/>
          <w:color w:val="000000"/>
          <w:sz w:val="23"/>
          <w:szCs w:val="23"/>
        </w:rPr>
        <w:t>digital media</w:t>
      </w:r>
      <w:r w:rsidR="004C5CC0" w:rsidRPr="00025BA2">
        <w:rPr>
          <w:rFonts w:ascii="Trebuchet MS" w:hAnsi="Trebuchet MS" w:cs="Calibri"/>
          <w:color w:val="000000"/>
          <w:sz w:val="23"/>
          <w:szCs w:val="23"/>
        </w:rPr>
        <w:t>;</w:t>
      </w:r>
      <w:r w:rsidR="00E537FE" w:rsidRPr="00025BA2">
        <w:rPr>
          <w:rFonts w:ascii="Trebuchet MS" w:hAnsi="Trebuchet MS" w:cs="Calibri"/>
          <w:color w:val="000000"/>
          <w:sz w:val="23"/>
          <w:szCs w:val="23"/>
        </w:rPr>
        <w:t xml:space="preserve"> career pathways</w:t>
      </w:r>
      <w:r w:rsidR="004C5CC0" w:rsidRPr="00025BA2">
        <w:rPr>
          <w:rFonts w:ascii="Trebuchet MS" w:hAnsi="Trebuchet MS" w:cs="Calibri"/>
          <w:color w:val="000000"/>
          <w:sz w:val="23"/>
          <w:szCs w:val="23"/>
        </w:rPr>
        <w:t>;</w:t>
      </w:r>
      <w:r w:rsidR="00E537FE" w:rsidRPr="00025BA2">
        <w:rPr>
          <w:rFonts w:ascii="Trebuchet MS" w:hAnsi="Trebuchet MS" w:cs="Calibri"/>
          <w:color w:val="000000"/>
          <w:sz w:val="23"/>
          <w:szCs w:val="23"/>
        </w:rPr>
        <w:t xml:space="preserve"> program management</w:t>
      </w:r>
      <w:r w:rsidR="004C5CC0" w:rsidRPr="00025BA2">
        <w:rPr>
          <w:rFonts w:ascii="Trebuchet MS" w:hAnsi="Trebuchet MS" w:cs="Calibri"/>
          <w:color w:val="000000"/>
          <w:sz w:val="23"/>
          <w:szCs w:val="23"/>
        </w:rPr>
        <w:t>;</w:t>
      </w:r>
      <w:r w:rsidR="00E537FE" w:rsidRPr="00025BA2">
        <w:rPr>
          <w:rFonts w:ascii="Trebuchet MS" w:hAnsi="Trebuchet MS" w:cs="Calibri"/>
          <w:color w:val="000000"/>
          <w:sz w:val="23"/>
          <w:szCs w:val="23"/>
        </w:rPr>
        <w:t xml:space="preserve"> high school equivalency</w:t>
      </w:r>
      <w:r w:rsidR="004C5CC0" w:rsidRPr="00025BA2">
        <w:rPr>
          <w:rFonts w:ascii="Trebuchet MS" w:hAnsi="Trebuchet MS" w:cs="Calibri"/>
          <w:color w:val="000000"/>
          <w:sz w:val="23"/>
          <w:szCs w:val="23"/>
        </w:rPr>
        <w:t>;</w:t>
      </w:r>
      <w:r w:rsidR="00E537FE" w:rsidRPr="00025BA2">
        <w:rPr>
          <w:rFonts w:ascii="Trebuchet MS" w:hAnsi="Trebuchet MS" w:cs="Calibri"/>
          <w:color w:val="000000"/>
          <w:sz w:val="23"/>
          <w:szCs w:val="23"/>
        </w:rPr>
        <w:t xml:space="preserve"> English language acquisition</w:t>
      </w:r>
      <w:r w:rsidR="004C5CC0" w:rsidRPr="00025BA2">
        <w:rPr>
          <w:rFonts w:ascii="Trebuchet MS" w:hAnsi="Trebuchet MS" w:cs="Calibri"/>
          <w:color w:val="000000"/>
          <w:sz w:val="23"/>
          <w:szCs w:val="23"/>
        </w:rPr>
        <w:t>; numeracy;</w:t>
      </w:r>
      <w:r w:rsidR="00E537FE" w:rsidRPr="00025BA2">
        <w:rPr>
          <w:rFonts w:ascii="Trebuchet MS" w:hAnsi="Trebuchet MS" w:cs="Calibri"/>
          <w:color w:val="000000"/>
          <w:sz w:val="23"/>
          <w:szCs w:val="23"/>
        </w:rPr>
        <w:t xml:space="preserve"> and learning disabilities. In PY20</w:t>
      </w:r>
      <w:r w:rsidR="007A4DE2" w:rsidRPr="00025BA2">
        <w:rPr>
          <w:rFonts w:ascii="Trebuchet MS" w:hAnsi="Trebuchet MS" w:cs="Calibri"/>
          <w:sz w:val="23"/>
          <w:szCs w:val="23"/>
        </w:rPr>
        <w:t>20</w:t>
      </w:r>
      <w:r w:rsidR="00E537FE" w:rsidRPr="00025BA2">
        <w:rPr>
          <w:rFonts w:ascii="Trebuchet MS" w:hAnsi="Trebuchet MS" w:cs="Calibri"/>
          <w:sz w:val="23"/>
          <w:szCs w:val="23"/>
        </w:rPr>
        <w:t>-202</w:t>
      </w:r>
      <w:r w:rsidR="007A4DE2" w:rsidRPr="00025BA2">
        <w:rPr>
          <w:rFonts w:ascii="Trebuchet MS" w:hAnsi="Trebuchet MS" w:cs="Calibri"/>
          <w:sz w:val="23"/>
          <w:szCs w:val="23"/>
        </w:rPr>
        <w:t>1</w:t>
      </w:r>
      <w:r w:rsidR="00E537FE" w:rsidRPr="00025BA2">
        <w:rPr>
          <w:rFonts w:ascii="Trebuchet MS" w:hAnsi="Trebuchet MS" w:cs="Calibri"/>
          <w:color w:val="000000"/>
          <w:sz w:val="23"/>
          <w:szCs w:val="23"/>
        </w:rPr>
        <w:t xml:space="preserve">, </w:t>
      </w:r>
      <w:r w:rsidR="00B759BA">
        <w:rPr>
          <w:rFonts w:ascii="Trebuchet MS" w:hAnsi="Trebuchet MS" w:cs="Calibri"/>
          <w:color w:val="000000"/>
          <w:sz w:val="23"/>
          <w:szCs w:val="23"/>
        </w:rPr>
        <w:t xml:space="preserve">the </w:t>
      </w:r>
      <w:r w:rsidR="00E537FE" w:rsidRPr="00025BA2">
        <w:rPr>
          <w:rFonts w:ascii="Trebuchet MS" w:hAnsi="Trebuchet MS" w:cs="Calibri"/>
          <w:sz w:val="23"/>
          <w:szCs w:val="23"/>
        </w:rPr>
        <w:t xml:space="preserve">VALRC </w:t>
      </w:r>
      <w:r w:rsidR="007A4DE2" w:rsidRPr="00025BA2">
        <w:rPr>
          <w:rFonts w:ascii="Trebuchet MS" w:hAnsi="Trebuchet MS" w:cs="Calibri"/>
          <w:sz w:val="23"/>
          <w:szCs w:val="23"/>
        </w:rPr>
        <w:t xml:space="preserve">began the process of a website redesign to promote greater interactivity and </w:t>
      </w:r>
      <w:r w:rsidR="00E537FE" w:rsidRPr="00025BA2">
        <w:rPr>
          <w:rFonts w:ascii="Trebuchet MS" w:hAnsi="Trebuchet MS" w:cs="Calibri"/>
          <w:sz w:val="23"/>
          <w:szCs w:val="23"/>
        </w:rPr>
        <w:t xml:space="preserve">updated and maintained </w:t>
      </w:r>
      <w:r w:rsidR="007A4DE2" w:rsidRPr="00025BA2">
        <w:rPr>
          <w:rFonts w:ascii="Trebuchet MS" w:hAnsi="Trebuchet MS" w:cs="Calibri"/>
          <w:sz w:val="23"/>
          <w:szCs w:val="23"/>
        </w:rPr>
        <w:t>four other</w:t>
      </w:r>
      <w:r w:rsidR="00E537FE" w:rsidRPr="00025BA2">
        <w:rPr>
          <w:rFonts w:ascii="Trebuchet MS" w:hAnsi="Trebuchet MS" w:cs="Calibri"/>
          <w:sz w:val="23"/>
          <w:szCs w:val="23"/>
        </w:rPr>
        <w:t xml:space="preserve"> resource websites, four listservs, and the </w:t>
      </w:r>
      <w:hyperlink r:id="rId15">
        <w:r w:rsidR="00E537FE" w:rsidRPr="00025BA2">
          <w:rPr>
            <w:rFonts w:ascii="Trebuchet MS" w:hAnsi="Trebuchet MS" w:cs="Calibri"/>
            <w:color w:val="0000FF"/>
            <w:sz w:val="23"/>
            <w:szCs w:val="23"/>
            <w:u w:val="single"/>
          </w:rPr>
          <w:t>GED</w:t>
        </w:r>
      </w:hyperlink>
      <w:hyperlink r:id="rId16">
        <w:r w:rsidR="00E537FE" w:rsidRPr="00025BA2">
          <w:rPr>
            <w:rFonts w:ascii="Trebuchet MS" w:hAnsi="Trebuchet MS" w:cs="Calibri"/>
            <w:color w:val="0000FF"/>
            <w:sz w:val="23"/>
            <w:szCs w:val="23"/>
            <w:u w:val="single"/>
            <w:vertAlign w:val="superscript"/>
          </w:rPr>
          <w:t>®</w:t>
        </w:r>
      </w:hyperlink>
      <w:hyperlink r:id="rId17">
        <w:r w:rsidR="00E537FE" w:rsidRPr="00025BA2">
          <w:rPr>
            <w:rFonts w:ascii="Trebuchet MS" w:hAnsi="Trebuchet MS" w:cs="Calibri"/>
            <w:color w:val="0000FF"/>
            <w:sz w:val="23"/>
            <w:szCs w:val="23"/>
            <w:u w:val="single"/>
          </w:rPr>
          <w:t xml:space="preserve"> Helpline</w:t>
        </w:r>
      </w:hyperlink>
      <w:r w:rsidR="00E537FE" w:rsidRPr="00025BA2">
        <w:rPr>
          <w:rFonts w:ascii="Trebuchet MS" w:hAnsi="Trebuchet MS" w:cs="Calibri"/>
          <w:sz w:val="23"/>
          <w:szCs w:val="23"/>
        </w:rPr>
        <w:t xml:space="preserve">. Publications and communications produced by VALRC include a quarterly newsletter called </w:t>
      </w:r>
      <w:r w:rsidR="00E537FE" w:rsidRPr="003662FB">
        <w:rPr>
          <w:rFonts w:ascii="Trebuchet MS" w:hAnsi="Trebuchet MS" w:cs="Calibri"/>
          <w:i/>
          <w:sz w:val="23"/>
          <w:szCs w:val="23"/>
        </w:rPr>
        <w:t>PROGRESS</w:t>
      </w:r>
      <w:r w:rsidR="00E537FE" w:rsidRPr="00025BA2">
        <w:rPr>
          <w:rFonts w:ascii="Trebuchet MS" w:hAnsi="Trebuchet MS" w:cs="Calibri"/>
          <w:sz w:val="23"/>
          <w:szCs w:val="23"/>
        </w:rPr>
        <w:t xml:space="preserve">, a </w:t>
      </w:r>
      <w:r w:rsidR="00E537FE" w:rsidRPr="003662FB">
        <w:rPr>
          <w:rFonts w:ascii="Trebuchet MS" w:hAnsi="Trebuchet MS" w:cs="Calibri"/>
          <w:sz w:val="23"/>
          <w:szCs w:val="23"/>
        </w:rPr>
        <w:t>podcast series</w:t>
      </w:r>
      <w:r w:rsidR="00E537FE" w:rsidRPr="00025BA2">
        <w:rPr>
          <w:rFonts w:ascii="Trebuchet MS" w:hAnsi="Trebuchet MS" w:cs="Calibri"/>
          <w:sz w:val="23"/>
          <w:szCs w:val="23"/>
        </w:rPr>
        <w:t xml:space="preserve">, a monthly </w:t>
      </w:r>
      <w:proofErr w:type="spellStart"/>
      <w:r w:rsidR="00E537FE" w:rsidRPr="003662FB">
        <w:rPr>
          <w:rFonts w:ascii="Trebuchet MS" w:hAnsi="Trebuchet MS" w:cs="Calibri"/>
          <w:sz w:val="23"/>
          <w:szCs w:val="23"/>
        </w:rPr>
        <w:t>TechTools</w:t>
      </w:r>
      <w:proofErr w:type="spellEnd"/>
      <w:r w:rsidR="00E537FE" w:rsidRPr="003662FB">
        <w:rPr>
          <w:rFonts w:ascii="Trebuchet MS" w:hAnsi="Trebuchet MS" w:cs="Calibri"/>
          <w:sz w:val="23"/>
          <w:szCs w:val="23"/>
        </w:rPr>
        <w:t xml:space="preserve"> publication</w:t>
      </w:r>
      <w:r w:rsidR="00E537FE" w:rsidRPr="00025BA2">
        <w:rPr>
          <w:rFonts w:ascii="Trebuchet MS" w:hAnsi="Trebuchet MS" w:cs="Calibri"/>
          <w:sz w:val="23"/>
          <w:szCs w:val="23"/>
        </w:rPr>
        <w:t xml:space="preserve">, </w:t>
      </w:r>
      <w:r w:rsidR="009E6040" w:rsidRPr="00025BA2">
        <w:rPr>
          <w:rFonts w:ascii="Trebuchet MS" w:hAnsi="Trebuchet MS" w:cs="Calibri"/>
          <w:sz w:val="23"/>
          <w:szCs w:val="23"/>
        </w:rPr>
        <w:t xml:space="preserve">and </w:t>
      </w:r>
      <w:r w:rsidR="00E537FE" w:rsidRPr="00025BA2">
        <w:rPr>
          <w:rFonts w:ascii="Trebuchet MS" w:hAnsi="Trebuchet MS" w:cs="Calibri"/>
          <w:sz w:val="23"/>
          <w:szCs w:val="23"/>
        </w:rPr>
        <w:t xml:space="preserve">a </w:t>
      </w:r>
      <w:r w:rsidR="00E537FE" w:rsidRPr="003662FB">
        <w:rPr>
          <w:rFonts w:ascii="Trebuchet MS" w:hAnsi="Trebuchet MS" w:cs="Calibri"/>
          <w:sz w:val="23"/>
          <w:szCs w:val="23"/>
        </w:rPr>
        <w:t>YouTube channel</w:t>
      </w:r>
      <w:r w:rsidR="004160D9" w:rsidRPr="00025BA2">
        <w:rPr>
          <w:rFonts w:ascii="Trebuchet MS" w:hAnsi="Trebuchet MS" w:cs="Calibri"/>
          <w:sz w:val="23"/>
          <w:szCs w:val="23"/>
        </w:rPr>
        <w:t xml:space="preserve">. </w:t>
      </w:r>
      <w:r w:rsidR="00E537FE" w:rsidRPr="00025BA2">
        <w:rPr>
          <w:rFonts w:ascii="Trebuchet MS" w:hAnsi="Trebuchet MS" w:cs="Calibri"/>
          <w:sz w:val="23"/>
          <w:szCs w:val="23"/>
        </w:rPr>
        <w:t xml:space="preserve"> </w:t>
      </w:r>
      <w:r w:rsidR="003F7509" w:rsidRPr="00025BA2">
        <w:rPr>
          <w:rFonts w:ascii="Trebuchet MS" w:hAnsi="Trebuchet MS" w:cs="Calibri"/>
          <w:sz w:val="23"/>
          <w:szCs w:val="23"/>
        </w:rPr>
        <w:t>This year’s</w:t>
      </w:r>
      <w:r w:rsidR="00C66B4A" w:rsidRPr="00025BA2">
        <w:rPr>
          <w:rFonts w:ascii="Trebuchet MS" w:hAnsi="Trebuchet MS" w:cs="Calibri"/>
          <w:sz w:val="23"/>
          <w:szCs w:val="23"/>
        </w:rPr>
        <w:t xml:space="preserve"> addition of </w:t>
      </w:r>
      <w:r w:rsidR="003F7509" w:rsidRPr="00025BA2">
        <w:rPr>
          <w:rFonts w:ascii="Trebuchet MS" w:hAnsi="Trebuchet MS" w:cs="Calibri"/>
          <w:sz w:val="23"/>
          <w:szCs w:val="23"/>
        </w:rPr>
        <w:t>a five</w:t>
      </w:r>
      <w:r w:rsidR="00B759BA">
        <w:rPr>
          <w:rFonts w:ascii="Trebuchet MS" w:hAnsi="Trebuchet MS" w:cs="Calibri"/>
          <w:sz w:val="23"/>
          <w:szCs w:val="23"/>
        </w:rPr>
        <w:t>-part</w:t>
      </w:r>
      <w:r w:rsidR="00C66B4A" w:rsidRPr="00025BA2">
        <w:rPr>
          <w:rFonts w:ascii="Trebuchet MS" w:hAnsi="Trebuchet MS" w:cs="Calibri"/>
          <w:sz w:val="23"/>
          <w:szCs w:val="23"/>
        </w:rPr>
        <w:t xml:space="preserve"> “Voices from the Field” </w:t>
      </w:r>
      <w:r w:rsidR="003F7509" w:rsidRPr="003662FB">
        <w:rPr>
          <w:rFonts w:ascii="Trebuchet MS" w:hAnsi="Trebuchet MS" w:cs="Calibri"/>
          <w:sz w:val="23"/>
          <w:szCs w:val="23"/>
        </w:rPr>
        <w:t xml:space="preserve">video </w:t>
      </w:r>
      <w:r w:rsidR="00456D21" w:rsidRPr="003662FB">
        <w:rPr>
          <w:rFonts w:ascii="Trebuchet MS" w:hAnsi="Trebuchet MS" w:cs="Calibri"/>
          <w:sz w:val="23"/>
          <w:szCs w:val="23"/>
        </w:rPr>
        <w:t xml:space="preserve">podcast </w:t>
      </w:r>
      <w:r w:rsidR="00C66B4A" w:rsidRPr="003662FB">
        <w:rPr>
          <w:rFonts w:ascii="Trebuchet MS" w:hAnsi="Trebuchet MS" w:cs="Calibri"/>
          <w:sz w:val="23"/>
          <w:szCs w:val="23"/>
        </w:rPr>
        <w:t>series</w:t>
      </w:r>
      <w:r w:rsidR="003F7509" w:rsidRPr="00025BA2">
        <w:rPr>
          <w:rFonts w:ascii="Trebuchet MS" w:hAnsi="Trebuchet MS" w:cs="Calibri"/>
          <w:sz w:val="23"/>
          <w:szCs w:val="23"/>
        </w:rPr>
        <w:t>,</w:t>
      </w:r>
      <w:r w:rsidR="00C66B4A" w:rsidRPr="00025BA2">
        <w:rPr>
          <w:rFonts w:ascii="Trebuchet MS" w:hAnsi="Trebuchet MS" w:cs="Calibri"/>
          <w:sz w:val="23"/>
          <w:szCs w:val="23"/>
        </w:rPr>
        <w:t xml:space="preserve"> </w:t>
      </w:r>
      <w:r w:rsidR="003F7509" w:rsidRPr="00025BA2">
        <w:rPr>
          <w:rFonts w:ascii="Trebuchet MS" w:hAnsi="Trebuchet MS" w:cs="Calibri"/>
          <w:sz w:val="23"/>
          <w:szCs w:val="23"/>
        </w:rPr>
        <w:t xml:space="preserve">as part of the IET Blueprint, highlights specific strategies that practitioners are implementing to support English language learners in their </w:t>
      </w:r>
      <w:r w:rsidR="003B0A0B">
        <w:rPr>
          <w:rFonts w:ascii="Trebuchet MS" w:hAnsi="Trebuchet MS" w:cs="Calibri"/>
          <w:sz w:val="23"/>
          <w:szCs w:val="23"/>
        </w:rPr>
        <w:t>I</w:t>
      </w:r>
      <w:r w:rsidR="00B759BA">
        <w:rPr>
          <w:rFonts w:ascii="Trebuchet MS" w:hAnsi="Trebuchet MS" w:cs="Calibri"/>
          <w:sz w:val="23"/>
          <w:szCs w:val="23"/>
        </w:rPr>
        <w:t xml:space="preserve">ntegrated English </w:t>
      </w:r>
      <w:r w:rsidR="003B0A0B">
        <w:rPr>
          <w:rFonts w:ascii="Trebuchet MS" w:hAnsi="Trebuchet MS" w:cs="Calibri"/>
          <w:sz w:val="23"/>
          <w:szCs w:val="23"/>
        </w:rPr>
        <w:t>L</w:t>
      </w:r>
      <w:r w:rsidR="00B759BA">
        <w:rPr>
          <w:rFonts w:ascii="Trebuchet MS" w:hAnsi="Trebuchet MS" w:cs="Calibri"/>
          <w:sz w:val="23"/>
          <w:szCs w:val="23"/>
        </w:rPr>
        <w:t xml:space="preserve">iteracy and </w:t>
      </w:r>
      <w:r w:rsidR="003B0A0B">
        <w:rPr>
          <w:rFonts w:ascii="Trebuchet MS" w:hAnsi="Trebuchet MS" w:cs="Calibri"/>
          <w:sz w:val="23"/>
          <w:szCs w:val="23"/>
        </w:rPr>
        <w:t>C</w:t>
      </w:r>
      <w:r w:rsidR="00B759BA">
        <w:rPr>
          <w:rFonts w:ascii="Trebuchet MS" w:hAnsi="Trebuchet MS" w:cs="Calibri"/>
          <w:sz w:val="23"/>
          <w:szCs w:val="23"/>
        </w:rPr>
        <w:t xml:space="preserve">ivics </w:t>
      </w:r>
      <w:r w:rsidR="003B0A0B">
        <w:rPr>
          <w:rFonts w:ascii="Trebuchet MS" w:hAnsi="Trebuchet MS" w:cs="Calibri"/>
          <w:sz w:val="23"/>
          <w:szCs w:val="23"/>
        </w:rPr>
        <w:t>E</w:t>
      </w:r>
      <w:r w:rsidR="00B759BA">
        <w:rPr>
          <w:rFonts w:ascii="Trebuchet MS" w:hAnsi="Trebuchet MS" w:cs="Calibri"/>
          <w:sz w:val="23"/>
          <w:szCs w:val="23"/>
        </w:rPr>
        <w:t>ducation (</w:t>
      </w:r>
      <w:r w:rsidR="003F7509" w:rsidRPr="00025BA2">
        <w:rPr>
          <w:rFonts w:ascii="Trebuchet MS" w:hAnsi="Trebuchet MS" w:cs="Calibri"/>
          <w:sz w:val="23"/>
          <w:szCs w:val="23"/>
        </w:rPr>
        <w:t>IELCE</w:t>
      </w:r>
      <w:r w:rsidR="00B759BA">
        <w:rPr>
          <w:rFonts w:ascii="Trebuchet MS" w:hAnsi="Trebuchet MS" w:cs="Calibri"/>
          <w:sz w:val="23"/>
          <w:szCs w:val="23"/>
        </w:rPr>
        <w:t>)</w:t>
      </w:r>
      <w:r w:rsidR="003F7509" w:rsidRPr="00025BA2">
        <w:rPr>
          <w:rFonts w:ascii="Trebuchet MS" w:hAnsi="Trebuchet MS" w:cs="Calibri"/>
          <w:sz w:val="23"/>
          <w:szCs w:val="23"/>
        </w:rPr>
        <w:t xml:space="preserve"> programs.</w:t>
      </w:r>
    </w:p>
    <w:p w14:paraId="37134644" w14:textId="274A3B65" w:rsidR="00456D21" w:rsidRPr="00025BA2" w:rsidRDefault="0092178C" w:rsidP="00471583">
      <w:pPr>
        <w:spacing w:before="120" w:after="120"/>
        <w:rPr>
          <w:rFonts w:ascii="Trebuchet MS" w:hAnsi="Trebuchet MS" w:cs="Calibri"/>
          <w:sz w:val="23"/>
          <w:szCs w:val="23"/>
        </w:rPr>
      </w:pPr>
      <w:r w:rsidRPr="00025BA2">
        <w:rPr>
          <w:rFonts w:ascii="Trebuchet MS" w:hAnsi="Trebuchet MS" w:cs="Calibri"/>
          <w:sz w:val="23"/>
          <w:szCs w:val="23"/>
        </w:rPr>
        <w:t xml:space="preserve">The </w:t>
      </w:r>
      <w:r w:rsidR="00456D21" w:rsidRPr="00025BA2">
        <w:rPr>
          <w:rFonts w:ascii="Trebuchet MS" w:hAnsi="Trebuchet MS" w:cs="Calibri"/>
          <w:sz w:val="23"/>
          <w:szCs w:val="23"/>
        </w:rPr>
        <w:t xml:space="preserve">VDOE developed and disseminated the </w:t>
      </w:r>
      <w:hyperlink r:id="rId18" w:history="1">
        <w:r w:rsidR="00456D21" w:rsidRPr="00246FE4">
          <w:rPr>
            <w:rStyle w:val="Hyperlink"/>
            <w:rFonts w:ascii="Trebuchet MS" w:hAnsi="Trebuchet MS" w:cs="Calibri"/>
            <w:i/>
            <w:sz w:val="23"/>
            <w:szCs w:val="23"/>
          </w:rPr>
          <w:t>Adult Education Program Responsibilities Manual</w:t>
        </w:r>
      </w:hyperlink>
      <w:r w:rsidR="00456D21" w:rsidRPr="00025BA2">
        <w:rPr>
          <w:rFonts w:ascii="Trebuchet MS" w:hAnsi="Trebuchet MS" w:cs="Calibri"/>
          <w:sz w:val="23"/>
          <w:szCs w:val="23"/>
        </w:rPr>
        <w:t xml:space="preserve"> </w:t>
      </w:r>
      <w:r w:rsidR="00441F8E" w:rsidRPr="00025BA2">
        <w:rPr>
          <w:rFonts w:ascii="Trebuchet MS" w:hAnsi="Trebuchet MS" w:cs="Calibri"/>
          <w:sz w:val="23"/>
          <w:szCs w:val="23"/>
        </w:rPr>
        <w:t>in PY2020-2021</w:t>
      </w:r>
      <w:r w:rsidR="008F632A" w:rsidRPr="00025BA2">
        <w:rPr>
          <w:rFonts w:ascii="Trebuchet MS" w:hAnsi="Trebuchet MS" w:cs="Calibri"/>
          <w:sz w:val="23"/>
          <w:szCs w:val="23"/>
        </w:rPr>
        <w:t xml:space="preserve">. This </w:t>
      </w:r>
      <w:r w:rsidR="003B0A0B">
        <w:rPr>
          <w:rFonts w:ascii="Trebuchet MS" w:hAnsi="Trebuchet MS" w:cs="Calibri"/>
          <w:sz w:val="23"/>
          <w:szCs w:val="23"/>
        </w:rPr>
        <w:t>m</w:t>
      </w:r>
      <w:r w:rsidR="00B759BA" w:rsidRPr="00025BA2">
        <w:rPr>
          <w:rFonts w:ascii="Trebuchet MS" w:hAnsi="Trebuchet MS" w:cs="Calibri"/>
          <w:sz w:val="23"/>
          <w:szCs w:val="23"/>
        </w:rPr>
        <w:t xml:space="preserve">anual </w:t>
      </w:r>
      <w:r w:rsidR="00456D21" w:rsidRPr="00025BA2">
        <w:rPr>
          <w:rFonts w:ascii="Trebuchet MS" w:hAnsi="Trebuchet MS" w:cs="Calibri"/>
          <w:sz w:val="23"/>
          <w:szCs w:val="23"/>
        </w:rPr>
        <w:t>provides a reference guide to federal and state policies, compliance principles, key citations, and technical assistance resources for Virginia adult education program managers</w:t>
      </w:r>
      <w:r w:rsidRPr="00025BA2">
        <w:rPr>
          <w:rFonts w:ascii="Trebuchet MS" w:hAnsi="Trebuchet MS" w:cs="Calibri"/>
          <w:sz w:val="23"/>
          <w:szCs w:val="23"/>
        </w:rPr>
        <w:t>.</w:t>
      </w:r>
    </w:p>
    <w:p w14:paraId="6700810E" w14:textId="6F902ADB" w:rsidR="00783EA1" w:rsidRPr="00025BA2" w:rsidRDefault="001B3783" w:rsidP="00783EA1">
      <w:pPr>
        <w:spacing w:before="120" w:after="120"/>
        <w:rPr>
          <w:rFonts w:ascii="Trebuchet MS" w:hAnsi="Trebuchet MS" w:cs="Calibri"/>
          <w:sz w:val="23"/>
          <w:szCs w:val="23"/>
        </w:rPr>
      </w:pPr>
      <w:r w:rsidRPr="003B0A0B">
        <w:rPr>
          <w:rFonts w:ascii="Trebuchet MS" w:hAnsi="Trebuchet MS" w:cs="Calibri"/>
          <w:sz w:val="23"/>
          <w:szCs w:val="23"/>
        </w:rPr>
        <w:t>Thirty adult education program administrators were</w:t>
      </w:r>
      <w:r>
        <w:rPr>
          <w:rFonts w:ascii="Trebuchet MS" w:hAnsi="Trebuchet MS" w:cs="Calibri"/>
          <w:sz w:val="23"/>
          <w:szCs w:val="23"/>
        </w:rPr>
        <w:t xml:space="preserve"> sponsored to participate in</w:t>
      </w:r>
      <w:r w:rsidR="002335BA" w:rsidRPr="00025BA2">
        <w:rPr>
          <w:rFonts w:ascii="Trebuchet MS" w:hAnsi="Trebuchet MS" w:cs="Calibri"/>
          <w:sz w:val="23"/>
          <w:szCs w:val="23"/>
        </w:rPr>
        <w:t xml:space="preserve"> the National Association of State Directors of Adult Education (NASDAE) and the American Institutes for Research</w:t>
      </w:r>
      <w:r w:rsidR="00B759BA">
        <w:rPr>
          <w:rFonts w:ascii="Trebuchet MS" w:hAnsi="Trebuchet MS" w:cs="Calibri"/>
          <w:sz w:val="23"/>
          <w:szCs w:val="23"/>
        </w:rPr>
        <w:t>’s</w:t>
      </w:r>
      <w:r w:rsidR="002335BA" w:rsidRPr="00025BA2">
        <w:rPr>
          <w:rFonts w:ascii="Trebuchet MS" w:hAnsi="Trebuchet MS" w:cs="Calibri"/>
          <w:sz w:val="23"/>
          <w:szCs w:val="23"/>
        </w:rPr>
        <w:t xml:space="preserve"> (AIR) </w:t>
      </w:r>
      <w:r w:rsidR="00783EA1" w:rsidRPr="00025BA2">
        <w:rPr>
          <w:rFonts w:ascii="Trebuchet MS" w:hAnsi="Trebuchet MS" w:cs="Calibri"/>
          <w:sz w:val="23"/>
          <w:szCs w:val="23"/>
        </w:rPr>
        <w:t>Leadership Excellence a</w:t>
      </w:r>
      <w:r>
        <w:rPr>
          <w:rFonts w:ascii="Trebuchet MS" w:hAnsi="Trebuchet MS" w:cs="Calibri"/>
          <w:sz w:val="23"/>
          <w:szCs w:val="23"/>
        </w:rPr>
        <w:t>nd Development (LEAD) Institute</w:t>
      </w:r>
      <w:r w:rsidR="002335BA" w:rsidRPr="00025BA2">
        <w:rPr>
          <w:rFonts w:ascii="Trebuchet MS" w:hAnsi="Trebuchet MS" w:cs="Calibri"/>
          <w:sz w:val="23"/>
          <w:szCs w:val="23"/>
        </w:rPr>
        <w:t>.</w:t>
      </w:r>
      <w:r w:rsidR="00722F00">
        <w:rPr>
          <w:rFonts w:ascii="Trebuchet MS" w:hAnsi="Trebuchet MS" w:cs="Calibri"/>
          <w:sz w:val="23"/>
          <w:szCs w:val="23"/>
        </w:rPr>
        <w:t xml:space="preserve"> </w:t>
      </w:r>
      <w:r w:rsidR="00B759BA">
        <w:rPr>
          <w:rFonts w:ascii="Trebuchet MS" w:hAnsi="Trebuchet MS" w:cs="Calibri"/>
          <w:sz w:val="23"/>
          <w:szCs w:val="23"/>
        </w:rPr>
        <w:t>The</w:t>
      </w:r>
      <w:r w:rsidR="00783EA1" w:rsidRPr="00025BA2">
        <w:rPr>
          <w:rFonts w:ascii="Trebuchet MS" w:hAnsi="Trebuchet MS" w:cs="Calibri"/>
          <w:sz w:val="23"/>
          <w:szCs w:val="23"/>
        </w:rPr>
        <w:t> LEAD</w:t>
      </w:r>
      <w:r w:rsidR="00856DDB">
        <w:rPr>
          <w:rFonts w:ascii="Trebuchet MS" w:hAnsi="Trebuchet MS" w:cs="Calibri"/>
          <w:sz w:val="23"/>
          <w:szCs w:val="23"/>
        </w:rPr>
        <w:t xml:space="preserve"> Institute</w:t>
      </w:r>
      <w:r w:rsidR="00783EA1" w:rsidRPr="00025BA2">
        <w:rPr>
          <w:rFonts w:ascii="Trebuchet MS" w:hAnsi="Trebuchet MS" w:cs="Calibri"/>
          <w:sz w:val="23"/>
          <w:szCs w:val="23"/>
        </w:rPr>
        <w:t xml:space="preserve"> is an </w:t>
      </w:r>
      <w:r w:rsidR="00441F8E" w:rsidRPr="00025BA2">
        <w:rPr>
          <w:rFonts w:ascii="Trebuchet MS" w:hAnsi="Trebuchet MS" w:cs="Calibri"/>
          <w:sz w:val="23"/>
          <w:szCs w:val="23"/>
        </w:rPr>
        <w:t>eight</w:t>
      </w:r>
      <w:r w:rsidR="00783EA1" w:rsidRPr="00025BA2">
        <w:rPr>
          <w:rFonts w:ascii="Trebuchet MS" w:hAnsi="Trebuchet MS" w:cs="Calibri"/>
          <w:sz w:val="23"/>
          <w:szCs w:val="23"/>
        </w:rPr>
        <w:t>-month, state</w:t>
      </w:r>
      <w:r w:rsidR="00441F8E" w:rsidRPr="00025BA2">
        <w:rPr>
          <w:rFonts w:ascii="Trebuchet MS" w:hAnsi="Trebuchet MS" w:cs="Calibri"/>
          <w:sz w:val="23"/>
          <w:szCs w:val="23"/>
        </w:rPr>
        <w:t>-specific,</w:t>
      </w:r>
      <w:r w:rsidR="00783EA1" w:rsidRPr="00025BA2">
        <w:rPr>
          <w:rFonts w:ascii="Trebuchet MS" w:hAnsi="Trebuchet MS" w:cs="Calibri"/>
          <w:sz w:val="23"/>
          <w:szCs w:val="23"/>
        </w:rPr>
        <w:t xml:space="preserve"> cohort</w:t>
      </w:r>
      <w:r w:rsidR="00441F8E" w:rsidRPr="00025BA2">
        <w:rPr>
          <w:rFonts w:ascii="Trebuchet MS" w:hAnsi="Trebuchet MS" w:cs="Calibri"/>
          <w:sz w:val="23"/>
          <w:szCs w:val="23"/>
        </w:rPr>
        <w:t>-based</w:t>
      </w:r>
      <w:r w:rsidR="00783EA1" w:rsidRPr="00025BA2">
        <w:rPr>
          <w:rFonts w:ascii="Trebuchet MS" w:hAnsi="Trebuchet MS" w:cs="Calibri"/>
          <w:sz w:val="23"/>
          <w:szCs w:val="23"/>
        </w:rPr>
        <w:t xml:space="preserve"> </w:t>
      </w:r>
      <w:r w:rsidR="00441F8E" w:rsidRPr="00025BA2">
        <w:rPr>
          <w:rFonts w:ascii="Trebuchet MS" w:hAnsi="Trebuchet MS" w:cs="Calibri"/>
          <w:sz w:val="23"/>
          <w:szCs w:val="23"/>
        </w:rPr>
        <w:t>PD</w:t>
      </w:r>
      <w:r w:rsidR="00783EA1" w:rsidRPr="00025BA2">
        <w:rPr>
          <w:rFonts w:ascii="Trebuchet MS" w:hAnsi="Trebuchet MS" w:cs="Calibri"/>
          <w:sz w:val="23"/>
          <w:szCs w:val="23"/>
        </w:rPr>
        <w:t xml:space="preserve"> opportunity for current, new, and aspiring adult education administrators seeking to develop and strengthen their leadership skills.  </w:t>
      </w:r>
      <w:r w:rsidR="00516676" w:rsidRPr="00025BA2">
        <w:rPr>
          <w:rFonts w:ascii="Trebuchet MS" w:hAnsi="Trebuchet MS" w:cs="Calibri"/>
          <w:sz w:val="23"/>
          <w:szCs w:val="23"/>
        </w:rPr>
        <w:t>This</w:t>
      </w:r>
      <w:r w:rsidR="00783EA1" w:rsidRPr="00025BA2">
        <w:rPr>
          <w:rFonts w:ascii="Trebuchet MS" w:hAnsi="Trebuchet MS" w:cs="Calibri"/>
          <w:sz w:val="23"/>
          <w:szCs w:val="23"/>
        </w:rPr>
        <w:t xml:space="preserve"> interactive, practice-based leadership development training focuse</w:t>
      </w:r>
      <w:r w:rsidR="00516676" w:rsidRPr="00025BA2">
        <w:rPr>
          <w:rFonts w:ascii="Trebuchet MS" w:hAnsi="Trebuchet MS" w:cs="Calibri"/>
          <w:sz w:val="23"/>
          <w:szCs w:val="23"/>
        </w:rPr>
        <w:t>d</w:t>
      </w:r>
      <w:r w:rsidR="00783EA1" w:rsidRPr="00025BA2">
        <w:rPr>
          <w:rFonts w:ascii="Trebuchet MS" w:hAnsi="Trebuchet MS" w:cs="Calibri"/>
          <w:sz w:val="23"/>
          <w:szCs w:val="23"/>
        </w:rPr>
        <w:t xml:space="preserve"> on developing participants</w:t>
      </w:r>
      <w:r w:rsidR="00441F8E" w:rsidRPr="00025BA2">
        <w:rPr>
          <w:rFonts w:ascii="Trebuchet MS" w:hAnsi="Trebuchet MS" w:cs="Calibri"/>
          <w:sz w:val="23"/>
          <w:szCs w:val="23"/>
        </w:rPr>
        <w:t>’</w:t>
      </w:r>
      <w:r w:rsidR="00783EA1" w:rsidRPr="00025BA2">
        <w:rPr>
          <w:rFonts w:ascii="Trebuchet MS" w:hAnsi="Trebuchet MS" w:cs="Calibri"/>
          <w:sz w:val="23"/>
          <w:szCs w:val="23"/>
        </w:rPr>
        <w:t xml:space="preserve"> skills and knowledge across four key domains: (1) transformational organizational leadership, (2) learner-centered leadership</w:t>
      </w:r>
      <w:r w:rsidR="00447460" w:rsidRPr="00025BA2">
        <w:rPr>
          <w:rFonts w:ascii="Trebuchet MS" w:hAnsi="Trebuchet MS" w:cs="Calibri"/>
          <w:sz w:val="23"/>
          <w:szCs w:val="23"/>
        </w:rPr>
        <w:t xml:space="preserve">, </w:t>
      </w:r>
      <w:r w:rsidR="00783EA1" w:rsidRPr="00025BA2">
        <w:rPr>
          <w:rFonts w:ascii="Trebuchet MS" w:hAnsi="Trebuchet MS" w:cs="Calibri"/>
          <w:sz w:val="23"/>
          <w:szCs w:val="23"/>
        </w:rPr>
        <w:t>(3) data- and research-based decision making</w:t>
      </w:r>
      <w:r w:rsidR="00447460" w:rsidRPr="00025BA2">
        <w:rPr>
          <w:rFonts w:ascii="Trebuchet MS" w:hAnsi="Trebuchet MS" w:cs="Calibri"/>
          <w:sz w:val="23"/>
          <w:szCs w:val="23"/>
        </w:rPr>
        <w:t xml:space="preserve">, </w:t>
      </w:r>
      <w:r w:rsidR="00783EA1" w:rsidRPr="00025BA2">
        <w:rPr>
          <w:rFonts w:ascii="Trebuchet MS" w:hAnsi="Trebuchet MS" w:cs="Calibri"/>
          <w:sz w:val="23"/>
          <w:szCs w:val="23"/>
        </w:rPr>
        <w:t>and (4) workforce alignment.</w:t>
      </w:r>
      <w:r w:rsidR="002335BA" w:rsidRPr="00025BA2">
        <w:rPr>
          <w:rFonts w:ascii="Trebuchet MS" w:hAnsi="Trebuchet MS" w:cs="Calibri"/>
          <w:sz w:val="23"/>
          <w:szCs w:val="23"/>
        </w:rPr>
        <w:t xml:space="preserve"> </w:t>
      </w:r>
      <w:r w:rsidR="00783EA1" w:rsidRPr="00025BA2">
        <w:rPr>
          <w:rFonts w:ascii="Trebuchet MS" w:hAnsi="Trebuchet MS" w:cs="Calibri"/>
          <w:sz w:val="23"/>
          <w:szCs w:val="23"/>
        </w:rPr>
        <w:t xml:space="preserve">Through a blended, project-based learning approach, </w:t>
      </w:r>
      <w:r w:rsidR="002335BA" w:rsidRPr="00025BA2">
        <w:rPr>
          <w:rFonts w:ascii="Trebuchet MS" w:hAnsi="Trebuchet MS" w:cs="Calibri"/>
          <w:sz w:val="23"/>
          <w:szCs w:val="23"/>
        </w:rPr>
        <w:t>participants engaged</w:t>
      </w:r>
      <w:r w:rsidR="00783EA1" w:rsidRPr="00025BA2">
        <w:rPr>
          <w:rFonts w:ascii="Trebuchet MS" w:hAnsi="Trebuchet MS" w:cs="Calibri"/>
          <w:sz w:val="23"/>
          <w:szCs w:val="23"/>
        </w:rPr>
        <w:t xml:space="preserve"> in synchronous and asynchronous content and develop</w:t>
      </w:r>
      <w:r w:rsidR="00516676" w:rsidRPr="00025BA2">
        <w:rPr>
          <w:rFonts w:ascii="Trebuchet MS" w:hAnsi="Trebuchet MS" w:cs="Calibri"/>
          <w:sz w:val="23"/>
          <w:szCs w:val="23"/>
        </w:rPr>
        <w:t>ed</w:t>
      </w:r>
      <w:r w:rsidR="00783EA1" w:rsidRPr="00025BA2">
        <w:rPr>
          <w:rFonts w:ascii="Trebuchet MS" w:hAnsi="Trebuchet MS" w:cs="Calibri"/>
          <w:sz w:val="23"/>
          <w:szCs w:val="23"/>
        </w:rPr>
        <w:t xml:space="preserve"> a Leadership-in-Action </w:t>
      </w:r>
      <w:r w:rsidR="00516676" w:rsidRPr="00025BA2">
        <w:rPr>
          <w:rFonts w:ascii="Trebuchet MS" w:hAnsi="Trebuchet MS" w:cs="Calibri"/>
          <w:sz w:val="23"/>
          <w:szCs w:val="23"/>
        </w:rPr>
        <w:t xml:space="preserve">(LIA) </w:t>
      </w:r>
      <w:r w:rsidR="00783EA1" w:rsidRPr="00025BA2">
        <w:rPr>
          <w:rFonts w:ascii="Trebuchet MS" w:hAnsi="Trebuchet MS" w:cs="Calibri"/>
          <w:sz w:val="23"/>
          <w:szCs w:val="23"/>
        </w:rPr>
        <w:t xml:space="preserve">project plan for </w:t>
      </w:r>
      <w:r w:rsidR="002335BA" w:rsidRPr="00025BA2">
        <w:rPr>
          <w:rFonts w:ascii="Trebuchet MS" w:hAnsi="Trebuchet MS" w:cs="Calibri"/>
          <w:sz w:val="23"/>
          <w:szCs w:val="23"/>
        </w:rPr>
        <w:t xml:space="preserve">their program. </w:t>
      </w:r>
      <w:r w:rsidR="00B759BA">
        <w:rPr>
          <w:rFonts w:ascii="Trebuchet MS" w:hAnsi="Trebuchet MS" w:cs="Calibri"/>
          <w:sz w:val="23"/>
          <w:szCs w:val="23"/>
        </w:rPr>
        <w:t xml:space="preserve">The </w:t>
      </w:r>
      <w:r w:rsidR="00516676" w:rsidRPr="00025BA2">
        <w:rPr>
          <w:rFonts w:ascii="Trebuchet MS" w:hAnsi="Trebuchet MS" w:cs="Calibri"/>
          <w:sz w:val="23"/>
          <w:szCs w:val="23"/>
        </w:rPr>
        <w:t>LIA p</w:t>
      </w:r>
      <w:r w:rsidR="00456D21" w:rsidRPr="00025BA2">
        <w:rPr>
          <w:rFonts w:ascii="Trebuchet MS" w:hAnsi="Trebuchet MS" w:cs="Calibri"/>
          <w:sz w:val="23"/>
          <w:szCs w:val="23"/>
        </w:rPr>
        <w:t>rojects included action plans for increasing</w:t>
      </w:r>
      <w:r w:rsidR="0035348F" w:rsidRPr="00025BA2">
        <w:rPr>
          <w:rFonts w:ascii="Trebuchet MS" w:hAnsi="Trebuchet MS" w:cs="Calibri"/>
          <w:sz w:val="23"/>
          <w:szCs w:val="23"/>
        </w:rPr>
        <w:t xml:space="preserve"> enrollment</w:t>
      </w:r>
      <w:r w:rsidR="00456D21" w:rsidRPr="00025BA2">
        <w:rPr>
          <w:rFonts w:ascii="Trebuchet MS" w:hAnsi="Trebuchet MS" w:cs="Calibri"/>
          <w:sz w:val="23"/>
          <w:szCs w:val="23"/>
        </w:rPr>
        <w:t xml:space="preserve"> and persistence</w:t>
      </w:r>
      <w:r w:rsidR="0035348F" w:rsidRPr="00025BA2">
        <w:rPr>
          <w:rFonts w:ascii="Trebuchet MS" w:hAnsi="Trebuchet MS" w:cs="Calibri"/>
          <w:sz w:val="23"/>
          <w:szCs w:val="23"/>
        </w:rPr>
        <w:t xml:space="preserve">, </w:t>
      </w:r>
      <w:r w:rsidR="00447460" w:rsidRPr="00025BA2">
        <w:rPr>
          <w:rFonts w:ascii="Trebuchet MS" w:hAnsi="Trebuchet MS" w:cs="Calibri"/>
          <w:sz w:val="23"/>
          <w:szCs w:val="23"/>
        </w:rPr>
        <w:t xml:space="preserve">innovating </w:t>
      </w:r>
      <w:r w:rsidR="00456D21" w:rsidRPr="00025BA2">
        <w:rPr>
          <w:rFonts w:ascii="Trebuchet MS" w:hAnsi="Trebuchet MS" w:cs="Calibri"/>
          <w:sz w:val="23"/>
          <w:szCs w:val="23"/>
        </w:rPr>
        <w:t xml:space="preserve">student </w:t>
      </w:r>
      <w:r w:rsidR="0035348F" w:rsidRPr="00025BA2">
        <w:rPr>
          <w:rFonts w:ascii="Trebuchet MS" w:hAnsi="Trebuchet MS" w:cs="Calibri"/>
          <w:sz w:val="23"/>
          <w:szCs w:val="23"/>
        </w:rPr>
        <w:t>recruitment</w:t>
      </w:r>
      <w:r w:rsidR="00447460" w:rsidRPr="00025BA2">
        <w:rPr>
          <w:rFonts w:ascii="Trebuchet MS" w:hAnsi="Trebuchet MS" w:cs="Calibri"/>
          <w:sz w:val="23"/>
          <w:szCs w:val="23"/>
        </w:rPr>
        <w:t xml:space="preserve"> efforts</w:t>
      </w:r>
      <w:r w:rsidR="0035348F" w:rsidRPr="00025BA2">
        <w:rPr>
          <w:rFonts w:ascii="Trebuchet MS" w:hAnsi="Trebuchet MS" w:cs="Calibri"/>
          <w:sz w:val="23"/>
          <w:szCs w:val="23"/>
        </w:rPr>
        <w:t xml:space="preserve">, and </w:t>
      </w:r>
      <w:r w:rsidR="00456D21" w:rsidRPr="00025BA2">
        <w:rPr>
          <w:rFonts w:ascii="Trebuchet MS" w:hAnsi="Trebuchet MS" w:cs="Calibri"/>
          <w:sz w:val="23"/>
          <w:szCs w:val="23"/>
        </w:rPr>
        <w:t xml:space="preserve">engaging learners through effective IETs. </w:t>
      </w:r>
      <w:r w:rsidR="00B759BA">
        <w:rPr>
          <w:rFonts w:ascii="Trebuchet MS" w:hAnsi="Trebuchet MS" w:cs="Calibri"/>
          <w:sz w:val="23"/>
          <w:szCs w:val="23"/>
        </w:rPr>
        <w:t xml:space="preserve">The </w:t>
      </w:r>
      <w:r w:rsidR="00E70152" w:rsidRPr="00025BA2">
        <w:rPr>
          <w:rFonts w:ascii="Trebuchet MS" w:hAnsi="Trebuchet MS" w:cs="Calibri"/>
          <w:sz w:val="23"/>
          <w:szCs w:val="23"/>
        </w:rPr>
        <w:t>VALRC will coordinate sustaining activities for sharing and evaluating these efforts through PY2021-2022.</w:t>
      </w:r>
    </w:p>
    <w:p w14:paraId="20FA86CB" w14:textId="5ECAF2CD" w:rsidR="00AE2BA7" w:rsidRPr="00025BA2" w:rsidRDefault="0053663A" w:rsidP="00471583">
      <w:pPr>
        <w:widowControl w:val="0"/>
        <w:spacing w:before="120" w:after="120"/>
        <w:rPr>
          <w:rFonts w:ascii="Trebuchet MS" w:hAnsi="Trebuchet MS" w:cs="Calibri"/>
          <w:sz w:val="23"/>
          <w:szCs w:val="23"/>
        </w:rPr>
      </w:pPr>
      <w:r w:rsidRPr="00246FE4">
        <w:rPr>
          <w:rFonts w:ascii="Trebuchet MS" w:hAnsi="Trebuchet MS" w:cs="Calibri"/>
          <w:sz w:val="23"/>
          <w:szCs w:val="23"/>
        </w:rPr>
        <w:t>In response to the positive reception by students of online learning options during the pandemic, the VDOE</w:t>
      </w:r>
      <w:r w:rsidRPr="00025BA2">
        <w:rPr>
          <w:rFonts w:ascii="Trebuchet MS" w:hAnsi="Trebuchet MS" w:cs="Calibri"/>
          <w:sz w:val="23"/>
          <w:szCs w:val="23"/>
        </w:rPr>
        <w:t xml:space="preserve"> expanded distance learning policy to accommodate instructor-developed</w:t>
      </w:r>
      <w:r w:rsidR="00447460" w:rsidRPr="00025BA2">
        <w:rPr>
          <w:rFonts w:ascii="Trebuchet MS" w:hAnsi="Trebuchet MS" w:cs="Calibri"/>
          <w:sz w:val="23"/>
          <w:szCs w:val="23"/>
        </w:rPr>
        <w:t>,</w:t>
      </w:r>
      <w:r w:rsidRPr="00025BA2">
        <w:rPr>
          <w:rFonts w:ascii="Trebuchet MS" w:hAnsi="Trebuchet MS" w:cs="Calibri"/>
          <w:sz w:val="23"/>
          <w:szCs w:val="23"/>
        </w:rPr>
        <w:t xml:space="preserve"> blended learning courses. Informed by a months-long Distance Education Subject Matter Expert Advisory Group, an </w:t>
      </w:r>
      <w:r w:rsidR="002852F7" w:rsidRPr="003662FB">
        <w:rPr>
          <w:rFonts w:ascii="Trebuchet MS" w:hAnsi="Trebuchet MS" w:cs="Calibri"/>
          <w:sz w:val="23"/>
          <w:szCs w:val="23"/>
        </w:rPr>
        <w:t xml:space="preserve">Adult Education Indicator of </w:t>
      </w:r>
      <w:r w:rsidR="008F7860" w:rsidRPr="003662FB">
        <w:rPr>
          <w:rFonts w:ascii="Trebuchet MS" w:hAnsi="Trebuchet MS" w:cs="Calibri"/>
          <w:sz w:val="23"/>
          <w:szCs w:val="23"/>
        </w:rPr>
        <w:t>Quality</w:t>
      </w:r>
      <w:r w:rsidR="00AE2BA7" w:rsidRPr="003662FB">
        <w:rPr>
          <w:rFonts w:ascii="Trebuchet MS" w:hAnsi="Trebuchet MS" w:cs="Calibri"/>
          <w:sz w:val="23"/>
          <w:szCs w:val="23"/>
        </w:rPr>
        <w:t xml:space="preserve"> Online </w:t>
      </w:r>
      <w:r w:rsidR="008F7860" w:rsidRPr="003662FB">
        <w:rPr>
          <w:rFonts w:ascii="Trebuchet MS" w:hAnsi="Trebuchet MS" w:cs="Calibri"/>
          <w:sz w:val="23"/>
          <w:szCs w:val="23"/>
        </w:rPr>
        <w:t>Course</w:t>
      </w:r>
      <w:r w:rsidR="00AE2BA7" w:rsidRPr="003662FB">
        <w:rPr>
          <w:rFonts w:ascii="Trebuchet MS" w:hAnsi="Trebuchet MS" w:cs="Calibri"/>
          <w:sz w:val="23"/>
          <w:szCs w:val="23"/>
        </w:rPr>
        <w:t xml:space="preserve"> </w:t>
      </w:r>
      <w:r w:rsidR="0092178C" w:rsidRPr="003662FB">
        <w:rPr>
          <w:rFonts w:ascii="Trebuchet MS" w:hAnsi="Trebuchet MS" w:cs="Calibri"/>
          <w:sz w:val="23"/>
          <w:szCs w:val="23"/>
        </w:rPr>
        <w:t>R</w:t>
      </w:r>
      <w:r w:rsidR="00AE2BA7" w:rsidRPr="003662FB">
        <w:rPr>
          <w:rFonts w:ascii="Trebuchet MS" w:hAnsi="Trebuchet MS" w:cs="Calibri"/>
          <w:sz w:val="23"/>
          <w:szCs w:val="23"/>
        </w:rPr>
        <w:t>ubric</w:t>
      </w:r>
      <w:r w:rsidR="00AE2BA7" w:rsidRPr="00025BA2">
        <w:rPr>
          <w:rFonts w:ascii="Trebuchet MS" w:hAnsi="Trebuchet MS" w:cs="Calibri"/>
          <w:sz w:val="23"/>
          <w:szCs w:val="23"/>
        </w:rPr>
        <w:t xml:space="preserve"> was </w:t>
      </w:r>
      <w:r w:rsidR="00441F8E" w:rsidRPr="00025BA2">
        <w:rPr>
          <w:rFonts w:ascii="Trebuchet MS" w:hAnsi="Trebuchet MS" w:cs="Calibri"/>
          <w:sz w:val="23"/>
          <w:szCs w:val="23"/>
        </w:rPr>
        <w:t>published</w:t>
      </w:r>
      <w:r w:rsidR="00AE2BA7" w:rsidRPr="00025BA2">
        <w:rPr>
          <w:rFonts w:ascii="Trebuchet MS" w:hAnsi="Trebuchet MS" w:cs="Calibri"/>
          <w:sz w:val="23"/>
          <w:szCs w:val="23"/>
        </w:rPr>
        <w:t xml:space="preserve"> as a </w:t>
      </w:r>
      <w:r w:rsidR="00441F8E" w:rsidRPr="00025BA2">
        <w:rPr>
          <w:rFonts w:ascii="Trebuchet MS" w:hAnsi="Trebuchet MS" w:cs="Calibri"/>
          <w:sz w:val="23"/>
          <w:szCs w:val="23"/>
        </w:rPr>
        <w:t xml:space="preserve">development </w:t>
      </w:r>
      <w:r w:rsidR="00AE2BA7" w:rsidRPr="00025BA2">
        <w:rPr>
          <w:rFonts w:ascii="Trebuchet MS" w:hAnsi="Trebuchet MS" w:cs="Calibri"/>
          <w:sz w:val="23"/>
          <w:szCs w:val="23"/>
        </w:rPr>
        <w:t xml:space="preserve">guide and </w:t>
      </w:r>
      <w:r w:rsidR="00441F8E" w:rsidRPr="00025BA2">
        <w:rPr>
          <w:rFonts w:ascii="Trebuchet MS" w:hAnsi="Trebuchet MS" w:cs="Calibri"/>
          <w:sz w:val="23"/>
          <w:szCs w:val="23"/>
        </w:rPr>
        <w:t xml:space="preserve">evaluation </w:t>
      </w:r>
      <w:r w:rsidR="00115F04" w:rsidRPr="00025BA2">
        <w:rPr>
          <w:rFonts w:ascii="Trebuchet MS" w:hAnsi="Trebuchet MS" w:cs="Calibri"/>
          <w:sz w:val="23"/>
          <w:szCs w:val="23"/>
        </w:rPr>
        <w:t xml:space="preserve">tool for </w:t>
      </w:r>
      <w:r w:rsidRPr="00025BA2">
        <w:rPr>
          <w:rFonts w:ascii="Trebuchet MS" w:hAnsi="Trebuchet MS" w:cs="Calibri"/>
          <w:sz w:val="23"/>
          <w:szCs w:val="23"/>
        </w:rPr>
        <w:t xml:space="preserve">such courses. </w:t>
      </w:r>
      <w:r w:rsidR="00AE2BA7" w:rsidRPr="00025BA2">
        <w:rPr>
          <w:rFonts w:ascii="Trebuchet MS" w:hAnsi="Trebuchet MS" w:cs="Calibri"/>
          <w:sz w:val="23"/>
          <w:szCs w:val="23"/>
        </w:rPr>
        <w:t xml:space="preserve">The </w:t>
      </w:r>
      <w:r w:rsidR="003B0A0B">
        <w:rPr>
          <w:rFonts w:ascii="Trebuchet MS" w:hAnsi="Trebuchet MS" w:cs="Calibri"/>
          <w:sz w:val="23"/>
          <w:szCs w:val="23"/>
        </w:rPr>
        <w:t>r</w:t>
      </w:r>
      <w:r w:rsidR="003B0A0B" w:rsidRPr="00025BA2">
        <w:rPr>
          <w:rFonts w:ascii="Trebuchet MS" w:hAnsi="Trebuchet MS" w:cs="Calibri"/>
          <w:sz w:val="23"/>
          <w:szCs w:val="23"/>
        </w:rPr>
        <w:t xml:space="preserve">ubric </w:t>
      </w:r>
      <w:r w:rsidR="00AE2BA7" w:rsidRPr="00025BA2">
        <w:rPr>
          <w:rFonts w:ascii="Trebuchet MS" w:hAnsi="Trebuchet MS" w:cs="Calibri"/>
          <w:sz w:val="23"/>
          <w:szCs w:val="23"/>
        </w:rPr>
        <w:t xml:space="preserve">includes a worksheet for accounting for student hours using blended and distance learning according to </w:t>
      </w:r>
      <w:r w:rsidR="00447460" w:rsidRPr="00025BA2">
        <w:rPr>
          <w:rFonts w:ascii="Trebuchet MS" w:hAnsi="Trebuchet MS" w:cs="Calibri"/>
          <w:sz w:val="23"/>
          <w:szCs w:val="23"/>
        </w:rPr>
        <w:t xml:space="preserve">the </w:t>
      </w:r>
      <w:hyperlink r:id="rId19" w:history="1">
        <w:r w:rsidR="00AE2BA7" w:rsidRPr="003B0A0B">
          <w:rPr>
            <w:rStyle w:val="Hyperlink"/>
            <w:rFonts w:ascii="Trebuchet MS" w:hAnsi="Trebuchet MS" w:cs="Calibri"/>
            <w:i/>
            <w:sz w:val="23"/>
            <w:szCs w:val="23"/>
          </w:rPr>
          <w:t>Assessment and Distance Education Policy</w:t>
        </w:r>
      </w:hyperlink>
      <w:r w:rsidR="00AE2BA7" w:rsidRPr="003B0A0B">
        <w:rPr>
          <w:rFonts w:ascii="Trebuchet MS" w:hAnsi="Trebuchet MS" w:cs="Calibri"/>
          <w:i/>
          <w:sz w:val="23"/>
          <w:szCs w:val="23"/>
        </w:rPr>
        <w:t xml:space="preserve"> for Virginia Adult Education and Literacy Programs</w:t>
      </w:r>
      <w:r w:rsidR="00AE2BA7" w:rsidRPr="00025BA2">
        <w:rPr>
          <w:rFonts w:ascii="Trebuchet MS" w:hAnsi="Trebuchet MS" w:cs="Calibri"/>
          <w:sz w:val="23"/>
          <w:szCs w:val="23"/>
        </w:rPr>
        <w:t xml:space="preserve">. The </w:t>
      </w:r>
      <w:r w:rsidR="003B0A0B">
        <w:rPr>
          <w:rFonts w:ascii="Trebuchet MS" w:hAnsi="Trebuchet MS" w:cs="Calibri"/>
          <w:sz w:val="23"/>
          <w:szCs w:val="23"/>
        </w:rPr>
        <w:t>r</w:t>
      </w:r>
      <w:r w:rsidR="003B0A0B" w:rsidRPr="00025BA2">
        <w:rPr>
          <w:rFonts w:ascii="Trebuchet MS" w:hAnsi="Trebuchet MS" w:cs="Calibri"/>
          <w:sz w:val="23"/>
          <w:szCs w:val="23"/>
        </w:rPr>
        <w:t xml:space="preserve">ubric </w:t>
      </w:r>
      <w:r w:rsidR="00AE2BA7" w:rsidRPr="00025BA2">
        <w:rPr>
          <w:rFonts w:ascii="Trebuchet MS" w:hAnsi="Trebuchet MS" w:cs="Calibri"/>
          <w:sz w:val="23"/>
          <w:szCs w:val="23"/>
        </w:rPr>
        <w:t xml:space="preserve">was piloted during the </w:t>
      </w:r>
      <w:r w:rsidR="00AE2BA7" w:rsidRPr="00025BA2">
        <w:rPr>
          <w:rFonts w:ascii="Trebuchet MS" w:hAnsi="Trebuchet MS" w:cs="Calibri"/>
          <w:i/>
          <w:sz w:val="23"/>
          <w:szCs w:val="23"/>
        </w:rPr>
        <w:t>Canvas Bootcamp</w:t>
      </w:r>
      <w:r w:rsidR="00AE2BA7" w:rsidRPr="00025BA2">
        <w:rPr>
          <w:rFonts w:ascii="Trebuchet MS" w:hAnsi="Trebuchet MS" w:cs="Calibri"/>
          <w:sz w:val="23"/>
          <w:szCs w:val="23"/>
        </w:rPr>
        <w:t xml:space="preserve"> course and </w:t>
      </w:r>
      <w:r w:rsidR="00447460" w:rsidRPr="00025BA2">
        <w:rPr>
          <w:rFonts w:ascii="Trebuchet MS" w:hAnsi="Trebuchet MS" w:cs="Calibri"/>
          <w:sz w:val="23"/>
          <w:szCs w:val="23"/>
        </w:rPr>
        <w:t xml:space="preserve">the </w:t>
      </w:r>
      <w:r w:rsidR="00AE2BA7" w:rsidRPr="00025BA2">
        <w:rPr>
          <w:rFonts w:ascii="Trebuchet MS" w:hAnsi="Trebuchet MS" w:cs="Calibri"/>
          <w:i/>
          <w:sz w:val="23"/>
          <w:szCs w:val="23"/>
        </w:rPr>
        <w:t>Quality Teaching Online</w:t>
      </w:r>
      <w:r w:rsidR="00AE2BA7" w:rsidRPr="00025BA2">
        <w:rPr>
          <w:rFonts w:ascii="Trebuchet MS" w:hAnsi="Trebuchet MS" w:cs="Calibri"/>
          <w:sz w:val="23"/>
          <w:szCs w:val="23"/>
        </w:rPr>
        <w:t xml:space="preserve"> PLC. </w:t>
      </w:r>
      <w:r w:rsidR="00115F04" w:rsidRPr="00025BA2">
        <w:rPr>
          <w:rFonts w:ascii="Trebuchet MS" w:hAnsi="Trebuchet MS" w:cs="Calibri"/>
          <w:sz w:val="23"/>
          <w:szCs w:val="23"/>
        </w:rPr>
        <w:t xml:space="preserve">The </w:t>
      </w:r>
      <w:r w:rsidR="00115F04" w:rsidRPr="003662FB">
        <w:rPr>
          <w:rFonts w:ascii="Trebuchet MS" w:hAnsi="Trebuchet MS" w:cs="Calibri"/>
          <w:sz w:val="23"/>
          <w:szCs w:val="23"/>
        </w:rPr>
        <w:t>Distance Education</w:t>
      </w:r>
      <w:r w:rsidR="00115F04" w:rsidRPr="00025BA2">
        <w:rPr>
          <w:rFonts w:ascii="Trebuchet MS" w:hAnsi="Trebuchet MS" w:cs="Calibri"/>
          <w:sz w:val="23"/>
          <w:szCs w:val="23"/>
        </w:rPr>
        <w:t xml:space="preserve"> page of the VALRC website was updated to include new resources,</w:t>
      </w:r>
      <w:r w:rsidR="00115F04" w:rsidRPr="00025BA2">
        <w:rPr>
          <w:rFonts w:ascii="Trebuchet MS" w:hAnsi="Trebuchet MS" w:cs="Calibri"/>
          <w:color w:val="000000"/>
          <w:sz w:val="23"/>
          <w:szCs w:val="23"/>
          <w:shd w:val="clear" w:color="auto" w:fill="FFFFFF"/>
        </w:rPr>
        <w:t xml:space="preserve"> </w:t>
      </w:r>
      <w:r w:rsidR="00115F04" w:rsidRPr="00025BA2">
        <w:rPr>
          <w:rFonts w:ascii="Trebuchet MS" w:hAnsi="Trebuchet MS" w:cs="Calibri"/>
          <w:sz w:val="23"/>
          <w:szCs w:val="23"/>
        </w:rPr>
        <w:t xml:space="preserve">the list of </w:t>
      </w:r>
      <w:r w:rsidR="00115F04" w:rsidRPr="00025BA2">
        <w:rPr>
          <w:rFonts w:ascii="Trebuchet MS" w:hAnsi="Trebuchet MS" w:cs="Calibri"/>
          <w:sz w:val="23"/>
          <w:szCs w:val="23"/>
        </w:rPr>
        <w:lastRenderedPageBreak/>
        <w:t xml:space="preserve">approved distance education </w:t>
      </w:r>
      <w:r w:rsidR="00870BE7" w:rsidRPr="00025BA2">
        <w:rPr>
          <w:rFonts w:ascii="Trebuchet MS" w:hAnsi="Trebuchet MS" w:cs="Calibri"/>
          <w:sz w:val="23"/>
          <w:szCs w:val="23"/>
        </w:rPr>
        <w:t>curricul</w:t>
      </w:r>
      <w:r w:rsidR="00870BE7">
        <w:rPr>
          <w:rFonts w:ascii="Trebuchet MS" w:hAnsi="Trebuchet MS" w:cs="Calibri"/>
          <w:sz w:val="23"/>
          <w:szCs w:val="23"/>
        </w:rPr>
        <w:t>a</w:t>
      </w:r>
      <w:r w:rsidR="00115F04" w:rsidRPr="00025BA2">
        <w:rPr>
          <w:rFonts w:ascii="Trebuchet MS" w:hAnsi="Trebuchet MS" w:cs="Calibri"/>
          <w:sz w:val="23"/>
          <w:szCs w:val="23"/>
        </w:rPr>
        <w:t>, the curriculum submission form, and publisher contact information.</w:t>
      </w:r>
    </w:p>
    <w:p w14:paraId="3F04AF67" w14:textId="270474CC" w:rsidR="00E537FE" w:rsidRPr="00025BA2" w:rsidRDefault="00E537FE" w:rsidP="00471583">
      <w:pPr>
        <w:widowControl w:val="0"/>
        <w:spacing w:before="120" w:after="120"/>
        <w:rPr>
          <w:rFonts w:ascii="Trebuchet MS" w:hAnsi="Trebuchet MS" w:cs="Calibri"/>
          <w:color w:val="000000"/>
          <w:sz w:val="23"/>
          <w:szCs w:val="23"/>
        </w:rPr>
      </w:pPr>
      <w:r w:rsidRPr="00025BA2">
        <w:rPr>
          <w:rFonts w:ascii="Trebuchet MS" w:hAnsi="Trebuchet MS" w:cs="Calibri"/>
          <w:sz w:val="23"/>
          <w:szCs w:val="23"/>
        </w:rPr>
        <w:t>I</w:t>
      </w:r>
      <w:r w:rsidRPr="00025BA2">
        <w:rPr>
          <w:rFonts w:ascii="Trebuchet MS" w:hAnsi="Trebuchet MS" w:cs="Calibri"/>
          <w:color w:val="000000"/>
          <w:sz w:val="23"/>
          <w:szCs w:val="23"/>
        </w:rPr>
        <w:t xml:space="preserve">n support of the requirement </w:t>
      </w:r>
      <w:r w:rsidR="00447460" w:rsidRPr="00025BA2">
        <w:rPr>
          <w:rFonts w:ascii="Trebuchet MS" w:hAnsi="Trebuchet MS" w:cs="Calibri"/>
          <w:color w:val="000000"/>
          <w:sz w:val="23"/>
          <w:szCs w:val="23"/>
        </w:rPr>
        <w:t xml:space="preserve">in </w:t>
      </w:r>
      <w:r w:rsidRPr="00025BA2">
        <w:rPr>
          <w:rFonts w:ascii="Trebuchet MS" w:hAnsi="Trebuchet MS" w:cs="Calibri"/>
          <w:b/>
          <w:color w:val="000000"/>
          <w:sz w:val="23"/>
          <w:szCs w:val="23"/>
        </w:rPr>
        <w:t>Sec. 223(1)(</w:t>
      </w:r>
      <w:r w:rsidR="00546001" w:rsidRPr="00025BA2">
        <w:rPr>
          <w:rFonts w:ascii="Trebuchet MS" w:hAnsi="Trebuchet MS" w:cs="Calibri"/>
          <w:b/>
          <w:color w:val="000000"/>
          <w:sz w:val="23"/>
          <w:szCs w:val="23"/>
        </w:rPr>
        <w:t>d</w:t>
      </w:r>
      <w:r w:rsidRPr="00025BA2">
        <w:rPr>
          <w:rFonts w:ascii="Trebuchet MS" w:hAnsi="Trebuchet MS" w:cs="Calibri"/>
          <w:b/>
          <w:color w:val="000000"/>
          <w:sz w:val="23"/>
          <w:szCs w:val="23"/>
        </w:rPr>
        <w:t>), monitoring and evaluation of quality, VDOE uses state leade</w:t>
      </w:r>
      <w:r w:rsidR="006F3C7D" w:rsidRPr="00025BA2">
        <w:rPr>
          <w:rFonts w:ascii="Trebuchet MS" w:hAnsi="Trebuchet MS" w:cs="Calibri"/>
          <w:b/>
          <w:color w:val="000000"/>
          <w:sz w:val="23"/>
          <w:szCs w:val="23"/>
        </w:rPr>
        <w:t>rship and administrative funds</w:t>
      </w:r>
      <w:r w:rsidRPr="00025BA2">
        <w:rPr>
          <w:rFonts w:ascii="Trebuchet MS" w:hAnsi="Trebuchet MS" w:cs="Calibri"/>
          <w:b/>
          <w:color w:val="000000"/>
          <w:sz w:val="23"/>
          <w:szCs w:val="23"/>
        </w:rPr>
        <w:t xml:space="preserve"> to support monitoring and evaluation activities</w:t>
      </w:r>
      <w:r w:rsidRPr="00025BA2">
        <w:rPr>
          <w:rFonts w:ascii="Trebuchet MS" w:hAnsi="Trebuchet MS" w:cs="Calibri"/>
          <w:color w:val="000000"/>
          <w:sz w:val="23"/>
          <w:szCs w:val="23"/>
        </w:rPr>
        <w:t xml:space="preserve">, which include not only evaluating the quality of and improvement in local adult education activities but also the effectiveness of efforts by </w:t>
      </w:r>
      <w:r w:rsidR="009E6040" w:rsidRPr="00025BA2">
        <w:rPr>
          <w:rFonts w:ascii="Trebuchet MS" w:hAnsi="Trebuchet MS" w:cs="Calibri"/>
          <w:color w:val="000000"/>
          <w:sz w:val="23"/>
          <w:szCs w:val="23"/>
        </w:rPr>
        <w:t xml:space="preserve">the </w:t>
      </w:r>
      <w:r w:rsidRPr="00025BA2">
        <w:rPr>
          <w:rFonts w:ascii="Trebuchet MS" w:hAnsi="Trebuchet MS" w:cs="Calibri"/>
          <w:color w:val="000000"/>
          <w:sz w:val="23"/>
          <w:szCs w:val="23"/>
        </w:rPr>
        <w:t>VALRC</w:t>
      </w:r>
      <w:r w:rsidR="0026604D" w:rsidRPr="00025BA2">
        <w:rPr>
          <w:rFonts w:ascii="Trebuchet MS" w:hAnsi="Trebuchet MS" w:cs="Calibri"/>
          <w:color w:val="000000"/>
          <w:sz w:val="23"/>
          <w:szCs w:val="23"/>
        </w:rPr>
        <w:t xml:space="preserve">.  </w:t>
      </w:r>
      <w:r w:rsidRPr="00025BA2">
        <w:rPr>
          <w:rFonts w:ascii="Trebuchet MS" w:hAnsi="Trebuchet MS" w:cs="Calibri"/>
          <w:color w:val="000000"/>
          <w:sz w:val="23"/>
          <w:szCs w:val="23"/>
        </w:rPr>
        <w:t xml:space="preserve">The requirement to disseminate information about models and proven </w:t>
      </w:r>
      <w:r w:rsidR="009E6040" w:rsidRPr="00025BA2">
        <w:rPr>
          <w:rFonts w:ascii="Trebuchet MS" w:hAnsi="Trebuchet MS" w:cs="Calibri"/>
          <w:color w:val="000000"/>
          <w:sz w:val="23"/>
          <w:szCs w:val="23"/>
        </w:rPr>
        <w:t>and/</w:t>
      </w:r>
      <w:r w:rsidRPr="00025BA2">
        <w:rPr>
          <w:rFonts w:ascii="Trebuchet MS" w:hAnsi="Trebuchet MS" w:cs="Calibri"/>
          <w:color w:val="000000"/>
          <w:sz w:val="23"/>
          <w:szCs w:val="23"/>
        </w:rPr>
        <w:t xml:space="preserve">or promising adult education practices within the state is discussed as an integral component of the work that </w:t>
      </w:r>
      <w:r w:rsidR="009E6040" w:rsidRPr="00025BA2">
        <w:rPr>
          <w:rFonts w:ascii="Trebuchet MS" w:hAnsi="Trebuchet MS" w:cs="Calibri"/>
          <w:color w:val="000000"/>
          <w:sz w:val="23"/>
          <w:szCs w:val="23"/>
        </w:rPr>
        <w:t xml:space="preserve">the </w:t>
      </w:r>
      <w:r w:rsidRPr="00025BA2">
        <w:rPr>
          <w:rFonts w:ascii="Trebuchet MS" w:hAnsi="Trebuchet MS" w:cs="Calibri"/>
          <w:color w:val="000000"/>
          <w:sz w:val="23"/>
          <w:szCs w:val="23"/>
        </w:rPr>
        <w:t xml:space="preserve">VALRC delivers as </w:t>
      </w:r>
      <w:r w:rsidR="002B61E5" w:rsidRPr="00025BA2">
        <w:rPr>
          <w:rFonts w:ascii="Trebuchet MS" w:hAnsi="Trebuchet MS" w:cs="Calibri"/>
          <w:color w:val="000000"/>
          <w:sz w:val="23"/>
          <w:szCs w:val="23"/>
        </w:rPr>
        <w:t>PD</w:t>
      </w:r>
      <w:r w:rsidRPr="00025BA2">
        <w:rPr>
          <w:rFonts w:ascii="Trebuchet MS" w:hAnsi="Trebuchet MS" w:cs="Calibri"/>
          <w:color w:val="000000"/>
          <w:sz w:val="23"/>
          <w:szCs w:val="23"/>
        </w:rPr>
        <w:t xml:space="preserve"> and technical support under 223(a)(1)(</w:t>
      </w:r>
      <w:r w:rsidR="00996FA8" w:rsidRPr="00025BA2">
        <w:rPr>
          <w:rFonts w:ascii="Trebuchet MS" w:hAnsi="Trebuchet MS" w:cs="Calibri"/>
          <w:color w:val="000000"/>
          <w:sz w:val="23"/>
          <w:szCs w:val="23"/>
        </w:rPr>
        <w:t>b</w:t>
      </w:r>
      <w:r w:rsidRPr="00025BA2">
        <w:rPr>
          <w:rFonts w:ascii="Trebuchet MS" w:hAnsi="Trebuchet MS" w:cs="Calibri"/>
          <w:color w:val="000000"/>
          <w:sz w:val="23"/>
          <w:szCs w:val="23"/>
        </w:rPr>
        <w:t>).</w:t>
      </w:r>
    </w:p>
    <w:p w14:paraId="3CB08F37" w14:textId="4E09394F" w:rsidR="004E3922" w:rsidRPr="00025BA2" w:rsidRDefault="004E3922" w:rsidP="004E3922">
      <w:pPr>
        <w:spacing w:before="120" w:after="120"/>
        <w:rPr>
          <w:rFonts w:ascii="Trebuchet MS" w:hAnsi="Trebuchet MS" w:cs="Calibri"/>
          <w:sz w:val="23"/>
          <w:szCs w:val="23"/>
        </w:rPr>
      </w:pPr>
      <w:r w:rsidRPr="00025BA2">
        <w:rPr>
          <w:rFonts w:ascii="Trebuchet MS" w:hAnsi="Trebuchet MS" w:cs="Calibri"/>
          <w:sz w:val="23"/>
          <w:szCs w:val="23"/>
        </w:rPr>
        <w:t xml:space="preserve">The VDOE’s system for assessing the quality of providers of adult education and literacy activities is based on five major activities, which can occur both consecutively and concurrently throughout the program year: (1) a program self-assessment survey completed by each provider, (2) the distribution and review of an annual risk rubric for each program, (3) ongoing data monitoring of information entered by each program in the state Management Information System (MIS) and </w:t>
      </w:r>
      <w:r w:rsidR="00870BE7">
        <w:rPr>
          <w:rFonts w:ascii="Trebuchet MS" w:hAnsi="Trebuchet MS" w:cs="Calibri"/>
          <w:sz w:val="23"/>
          <w:szCs w:val="23"/>
        </w:rPr>
        <w:t xml:space="preserve">the </w:t>
      </w:r>
      <w:r w:rsidRPr="00025BA2">
        <w:rPr>
          <w:rFonts w:ascii="Trebuchet MS" w:hAnsi="Trebuchet MS" w:cs="Calibri"/>
          <w:sz w:val="23"/>
          <w:szCs w:val="23"/>
        </w:rPr>
        <w:t>Online Management of Education Grant Awards (OMEGA) fiscal system throughout the program year, (4) technical assistance calls, the content of which is based on 1-3 above, between the VDOE and each funded program, and (5) the identification of programs for site-visit reviews, based on information collected in activities 1-3 above.</w:t>
      </w:r>
    </w:p>
    <w:p w14:paraId="5C72FBFB" w14:textId="3930BE7E" w:rsidR="004E3922" w:rsidRPr="00025BA2" w:rsidRDefault="004E3922" w:rsidP="004E3922">
      <w:pPr>
        <w:spacing w:before="120" w:after="120"/>
        <w:ind w:right="120"/>
        <w:rPr>
          <w:rFonts w:ascii="Trebuchet MS" w:hAnsi="Trebuchet MS" w:cs="Calibri"/>
          <w:spacing w:val="3"/>
          <w:sz w:val="23"/>
          <w:szCs w:val="23"/>
        </w:rPr>
      </w:pPr>
      <w:r w:rsidRPr="00025BA2">
        <w:rPr>
          <w:rFonts w:ascii="Trebuchet MS" w:hAnsi="Trebuchet MS" w:cs="Calibri"/>
          <w:sz w:val="23"/>
          <w:szCs w:val="23"/>
        </w:rPr>
        <w:t xml:space="preserve">In PY2020-2021, the activities listed above were successfully completed, starting with the distribution of the Program Self-Assessment Survey, which </w:t>
      </w:r>
      <w:r w:rsidRPr="00025BA2">
        <w:rPr>
          <w:rFonts w:ascii="Trebuchet MS" w:hAnsi="Trebuchet MS" w:cs="Calibri"/>
          <w:spacing w:val="3"/>
          <w:sz w:val="23"/>
          <w:szCs w:val="23"/>
        </w:rPr>
        <w:t xml:space="preserve">is designed to allow a means for programs to document their leadership and management processes and assist the VALRC and state office staff </w:t>
      </w:r>
      <w:r w:rsidR="009E2B67" w:rsidRPr="00025BA2">
        <w:rPr>
          <w:rFonts w:ascii="Trebuchet MS" w:hAnsi="Trebuchet MS" w:cs="Calibri"/>
          <w:spacing w:val="3"/>
          <w:sz w:val="23"/>
          <w:szCs w:val="23"/>
        </w:rPr>
        <w:t xml:space="preserve">in </w:t>
      </w:r>
      <w:proofErr w:type="gramStart"/>
      <w:r w:rsidR="009E2B67" w:rsidRPr="00025BA2">
        <w:rPr>
          <w:rFonts w:ascii="Trebuchet MS" w:hAnsi="Trebuchet MS" w:cs="Calibri"/>
          <w:spacing w:val="3"/>
          <w:sz w:val="23"/>
          <w:szCs w:val="23"/>
        </w:rPr>
        <w:t xml:space="preserve">the </w:t>
      </w:r>
      <w:r w:rsidRPr="00025BA2">
        <w:rPr>
          <w:rFonts w:ascii="Trebuchet MS" w:hAnsi="Trebuchet MS" w:cs="Calibri"/>
          <w:spacing w:val="3"/>
          <w:sz w:val="23"/>
          <w:szCs w:val="23"/>
        </w:rPr>
        <w:t xml:space="preserve"> </w:t>
      </w:r>
      <w:r w:rsidR="00175A66" w:rsidRPr="00025BA2">
        <w:rPr>
          <w:rFonts w:ascii="Trebuchet MS" w:hAnsi="Trebuchet MS" w:cs="Calibri"/>
          <w:spacing w:val="3"/>
          <w:sz w:val="23"/>
          <w:szCs w:val="23"/>
        </w:rPr>
        <w:t>develop</w:t>
      </w:r>
      <w:r w:rsidR="009E2B67" w:rsidRPr="00025BA2">
        <w:rPr>
          <w:rFonts w:ascii="Trebuchet MS" w:hAnsi="Trebuchet MS" w:cs="Calibri"/>
          <w:spacing w:val="3"/>
          <w:sz w:val="23"/>
          <w:szCs w:val="23"/>
        </w:rPr>
        <w:t>ment</w:t>
      </w:r>
      <w:proofErr w:type="gramEnd"/>
      <w:r w:rsidR="009E2B67" w:rsidRPr="00025BA2">
        <w:rPr>
          <w:rFonts w:ascii="Trebuchet MS" w:hAnsi="Trebuchet MS" w:cs="Calibri"/>
          <w:spacing w:val="3"/>
          <w:sz w:val="23"/>
          <w:szCs w:val="23"/>
        </w:rPr>
        <w:t xml:space="preserve"> of</w:t>
      </w:r>
      <w:r w:rsidR="00175A66" w:rsidRPr="00025BA2">
        <w:rPr>
          <w:rFonts w:ascii="Trebuchet MS" w:hAnsi="Trebuchet MS" w:cs="Calibri"/>
          <w:spacing w:val="3"/>
          <w:sz w:val="23"/>
          <w:szCs w:val="23"/>
        </w:rPr>
        <w:t xml:space="preserve"> </w:t>
      </w:r>
      <w:r w:rsidR="009E2B67" w:rsidRPr="00025BA2">
        <w:rPr>
          <w:rFonts w:ascii="Trebuchet MS" w:hAnsi="Trebuchet MS" w:cs="Calibri"/>
          <w:spacing w:val="3"/>
          <w:sz w:val="23"/>
          <w:szCs w:val="23"/>
        </w:rPr>
        <w:t>program-specific</w:t>
      </w:r>
      <w:r w:rsidRPr="00025BA2">
        <w:rPr>
          <w:rFonts w:ascii="Trebuchet MS" w:hAnsi="Trebuchet MS" w:cs="Calibri"/>
          <w:spacing w:val="3"/>
          <w:sz w:val="23"/>
          <w:szCs w:val="23"/>
        </w:rPr>
        <w:t xml:space="preserve"> technical assistance</w:t>
      </w:r>
      <w:r w:rsidR="009E2B67" w:rsidRPr="00025BA2">
        <w:rPr>
          <w:rFonts w:ascii="Trebuchet MS" w:hAnsi="Trebuchet MS" w:cs="Calibri"/>
          <w:spacing w:val="3"/>
          <w:sz w:val="23"/>
          <w:szCs w:val="23"/>
        </w:rPr>
        <w:t xml:space="preserve"> plans</w:t>
      </w:r>
      <w:r w:rsidRPr="00025BA2">
        <w:rPr>
          <w:rFonts w:ascii="Trebuchet MS" w:hAnsi="Trebuchet MS" w:cs="Calibri"/>
          <w:spacing w:val="3"/>
          <w:sz w:val="23"/>
          <w:szCs w:val="23"/>
        </w:rPr>
        <w:t>.  Risk rubrics were created</w:t>
      </w:r>
      <w:r w:rsidR="00447460" w:rsidRPr="00025BA2">
        <w:rPr>
          <w:rFonts w:ascii="Trebuchet MS" w:hAnsi="Trebuchet MS" w:cs="Calibri"/>
          <w:spacing w:val="3"/>
          <w:sz w:val="23"/>
          <w:szCs w:val="23"/>
        </w:rPr>
        <w:t xml:space="preserve"> from various data related to program operations and performance and </w:t>
      </w:r>
      <w:r w:rsidRPr="00025BA2">
        <w:rPr>
          <w:rFonts w:ascii="Trebuchet MS" w:hAnsi="Trebuchet MS" w:cs="Calibri"/>
          <w:spacing w:val="3"/>
          <w:sz w:val="23"/>
          <w:szCs w:val="23"/>
        </w:rPr>
        <w:t xml:space="preserve">distributed </w:t>
      </w:r>
      <w:r w:rsidR="00447460" w:rsidRPr="00025BA2">
        <w:rPr>
          <w:rFonts w:ascii="Trebuchet MS" w:hAnsi="Trebuchet MS" w:cs="Calibri"/>
          <w:spacing w:val="3"/>
          <w:sz w:val="23"/>
          <w:szCs w:val="23"/>
        </w:rPr>
        <w:t xml:space="preserve">to all funded programs, </w:t>
      </w:r>
      <w:r w:rsidRPr="00025BA2">
        <w:rPr>
          <w:rFonts w:ascii="Trebuchet MS" w:hAnsi="Trebuchet MS" w:cs="Calibri"/>
          <w:spacing w:val="3"/>
          <w:sz w:val="23"/>
          <w:szCs w:val="23"/>
        </w:rPr>
        <w:t xml:space="preserve">and technical assistance calls were </w:t>
      </w:r>
      <w:r w:rsidR="00447460" w:rsidRPr="00025BA2">
        <w:rPr>
          <w:rFonts w:ascii="Trebuchet MS" w:hAnsi="Trebuchet MS" w:cs="Calibri"/>
          <w:spacing w:val="3"/>
          <w:sz w:val="23"/>
          <w:szCs w:val="23"/>
        </w:rPr>
        <w:t xml:space="preserve">then </w:t>
      </w:r>
      <w:r w:rsidRPr="00025BA2">
        <w:rPr>
          <w:rFonts w:ascii="Trebuchet MS" w:hAnsi="Trebuchet MS" w:cs="Calibri"/>
          <w:spacing w:val="3"/>
          <w:sz w:val="23"/>
          <w:szCs w:val="23"/>
        </w:rPr>
        <w:t xml:space="preserve">conducted with all funded programs. These </w:t>
      </w:r>
      <w:r w:rsidRPr="00025BA2">
        <w:rPr>
          <w:rFonts w:ascii="Trebuchet MS" w:hAnsi="Trebuchet MS" w:cs="Calibri"/>
          <w:sz w:val="23"/>
          <w:szCs w:val="23"/>
        </w:rPr>
        <w:t xml:space="preserve">direct conversations with program staff allow the VDOE to combine the quantitative analysis provided by the risk rubrics with the more qualitative nature of the responses provided on the program self-assessment survey and serve a primary role in ascertaining the specific technical assistance needs of individual programs.  </w:t>
      </w:r>
    </w:p>
    <w:p w14:paraId="551D89FC" w14:textId="54871419" w:rsidR="00E537FE" w:rsidRPr="00025BA2" w:rsidRDefault="004E3922" w:rsidP="004E3922">
      <w:pPr>
        <w:widowControl w:val="0"/>
        <w:pBdr>
          <w:top w:val="nil"/>
          <w:left w:val="nil"/>
          <w:bottom w:val="nil"/>
          <w:right w:val="nil"/>
          <w:between w:val="nil"/>
        </w:pBdr>
        <w:spacing w:before="120" w:after="120"/>
        <w:rPr>
          <w:rFonts w:ascii="Trebuchet MS" w:hAnsi="Trebuchet MS" w:cs="Calibri"/>
          <w:sz w:val="23"/>
          <w:szCs w:val="23"/>
        </w:rPr>
      </w:pPr>
      <w:r w:rsidRPr="00025BA2">
        <w:rPr>
          <w:rFonts w:ascii="Trebuchet MS" w:hAnsi="Trebuchet MS" w:cs="Calibri"/>
          <w:sz w:val="23"/>
          <w:szCs w:val="23"/>
        </w:rPr>
        <w:t xml:space="preserve">Because of travel restrictions put into place by the VDOE as a result of the pandemic, no on-site site visits were conducted in PY2020-2021. </w:t>
      </w:r>
      <w:r w:rsidR="009E2B67" w:rsidRPr="00025BA2">
        <w:rPr>
          <w:rFonts w:ascii="Trebuchet MS" w:hAnsi="Trebuchet MS" w:cs="Calibri"/>
          <w:sz w:val="23"/>
          <w:szCs w:val="23"/>
        </w:rPr>
        <w:t xml:space="preserve">In </w:t>
      </w:r>
      <w:r w:rsidR="00AF2C28" w:rsidRPr="00025BA2">
        <w:rPr>
          <w:rFonts w:ascii="Trebuchet MS" w:hAnsi="Trebuchet MS" w:cs="Calibri"/>
          <w:sz w:val="23"/>
          <w:szCs w:val="23"/>
        </w:rPr>
        <w:t>late summer</w:t>
      </w:r>
      <w:r w:rsidR="009E2B67" w:rsidRPr="00025BA2">
        <w:rPr>
          <w:rFonts w:ascii="Trebuchet MS" w:hAnsi="Trebuchet MS" w:cs="Calibri"/>
          <w:sz w:val="23"/>
          <w:szCs w:val="23"/>
        </w:rPr>
        <w:t xml:space="preserve"> of 2020</w:t>
      </w:r>
      <w:r w:rsidRPr="00025BA2">
        <w:rPr>
          <w:rFonts w:ascii="Trebuchet MS" w:hAnsi="Trebuchet MS" w:cs="Calibri"/>
          <w:sz w:val="23"/>
          <w:szCs w:val="23"/>
        </w:rPr>
        <w:t xml:space="preserve">, steps were taken to develop a virtual monitoring process. The monitoring protocol used for on-site visits was adapted for monitoring in a virtual environment. This new </w:t>
      </w:r>
      <w:r w:rsidR="009E2B67" w:rsidRPr="00025BA2">
        <w:rPr>
          <w:rFonts w:ascii="Trebuchet MS" w:hAnsi="Trebuchet MS" w:cs="Calibri"/>
          <w:sz w:val="23"/>
          <w:szCs w:val="23"/>
        </w:rPr>
        <w:t>virtual site</w:t>
      </w:r>
      <w:r w:rsidR="00447460" w:rsidRPr="00025BA2">
        <w:rPr>
          <w:rFonts w:ascii="Trebuchet MS" w:hAnsi="Trebuchet MS" w:cs="Calibri"/>
          <w:sz w:val="23"/>
          <w:szCs w:val="23"/>
        </w:rPr>
        <w:t>-</w:t>
      </w:r>
      <w:r w:rsidR="009E2B67" w:rsidRPr="00025BA2">
        <w:rPr>
          <w:rFonts w:ascii="Trebuchet MS" w:hAnsi="Trebuchet MS" w:cs="Calibri"/>
          <w:sz w:val="23"/>
          <w:szCs w:val="23"/>
        </w:rPr>
        <w:t xml:space="preserve">visit </w:t>
      </w:r>
      <w:r w:rsidRPr="00025BA2">
        <w:rPr>
          <w:rFonts w:ascii="Trebuchet MS" w:hAnsi="Trebuchet MS" w:cs="Calibri"/>
          <w:sz w:val="23"/>
          <w:szCs w:val="23"/>
        </w:rPr>
        <w:t>process was put into place in November 2020 when the office conducted a virtual monitoring pilot effort</w:t>
      </w:r>
      <w:r w:rsidR="009E2B67" w:rsidRPr="00025BA2">
        <w:rPr>
          <w:rFonts w:ascii="Trebuchet MS" w:hAnsi="Trebuchet MS" w:cs="Calibri"/>
          <w:sz w:val="23"/>
          <w:szCs w:val="23"/>
        </w:rPr>
        <w:t xml:space="preserve"> using the adapted virtual site-visit protocol</w:t>
      </w:r>
      <w:r w:rsidRPr="00025BA2">
        <w:rPr>
          <w:rFonts w:ascii="Trebuchet MS" w:hAnsi="Trebuchet MS" w:cs="Calibri"/>
          <w:sz w:val="23"/>
          <w:szCs w:val="23"/>
        </w:rPr>
        <w:t xml:space="preserve"> with one of the adult education regional programs in the southwestern part of the state.  Continued refinement of the site-visit protocol resulted in more </w:t>
      </w:r>
      <w:r w:rsidR="00175A66" w:rsidRPr="00025BA2">
        <w:rPr>
          <w:rFonts w:ascii="Trebuchet MS" w:hAnsi="Trebuchet MS" w:cs="Calibri"/>
          <w:sz w:val="23"/>
          <w:szCs w:val="23"/>
        </w:rPr>
        <w:t xml:space="preserve">a </w:t>
      </w:r>
      <w:r w:rsidRPr="00025BA2">
        <w:rPr>
          <w:rFonts w:ascii="Trebuchet MS" w:hAnsi="Trebuchet MS" w:cs="Calibri"/>
          <w:sz w:val="23"/>
          <w:szCs w:val="23"/>
        </w:rPr>
        <w:t xml:space="preserve">focused </w:t>
      </w:r>
      <w:r w:rsidR="009E2B67" w:rsidRPr="00025BA2">
        <w:rPr>
          <w:rFonts w:ascii="Trebuchet MS" w:hAnsi="Trebuchet MS" w:cs="Calibri"/>
          <w:sz w:val="23"/>
          <w:szCs w:val="23"/>
        </w:rPr>
        <w:t xml:space="preserve">virtual </w:t>
      </w:r>
      <w:r w:rsidRPr="00025BA2">
        <w:rPr>
          <w:rFonts w:ascii="Trebuchet MS" w:hAnsi="Trebuchet MS" w:cs="Calibri"/>
          <w:sz w:val="23"/>
          <w:szCs w:val="23"/>
        </w:rPr>
        <w:t xml:space="preserve">monitoring tool that was used during two additional virtual site visits that </w:t>
      </w:r>
      <w:r w:rsidR="00175A66" w:rsidRPr="00025BA2">
        <w:rPr>
          <w:rFonts w:ascii="Trebuchet MS" w:hAnsi="Trebuchet MS" w:cs="Calibri"/>
          <w:sz w:val="23"/>
          <w:szCs w:val="23"/>
        </w:rPr>
        <w:t xml:space="preserve">occurred in the Middle Peninsula area in April 2021 and </w:t>
      </w:r>
      <w:r w:rsidR="00870BE7">
        <w:rPr>
          <w:rFonts w:ascii="Trebuchet MS" w:hAnsi="Trebuchet MS" w:cs="Calibri"/>
          <w:sz w:val="23"/>
          <w:szCs w:val="23"/>
        </w:rPr>
        <w:t>the</w:t>
      </w:r>
      <w:r w:rsidR="00175A66" w:rsidRPr="00025BA2">
        <w:rPr>
          <w:rFonts w:ascii="Trebuchet MS" w:hAnsi="Trebuchet MS" w:cs="Calibri"/>
          <w:sz w:val="23"/>
          <w:szCs w:val="23"/>
        </w:rPr>
        <w:t xml:space="preserve"> Northern Virginia </w:t>
      </w:r>
      <w:r w:rsidR="00870BE7">
        <w:rPr>
          <w:rFonts w:ascii="Trebuchet MS" w:hAnsi="Trebuchet MS" w:cs="Calibri"/>
          <w:sz w:val="23"/>
          <w:szCs w:val="23"/>
        </w:rPr>
        <w:t xml:space="preserve">area </w:t>
      </w:r>
      <w:r w:rsidR="00175A66" w:rsidRPr="00025BA2">
        <w:rPr>
          <w:rFonts w:ascii="Trebuchet MS" w:hAnsi="Trebuchet MS" w:cs="Calibri"/>
          <w:sz w:val="23"/>
          <w:szCs w:val="23"/>
        </w:rPr>
        <w:t>in May 2021.</w:t>
      </w:r>
      <w:r w:rsidR="003F2A49" w:rsidRPr="00025BA2">
        <w:rPr>
          <w:rFonts w:ascii="Trebuchet MS" w:hAnsi="Trebuchet MS" w:cs="Calibri"/>
          <w:sz w:val="23"/>
          <w:szCs w:val="23"/>
        </w:rPr>
        <w:t xml:space="preserve">  The virtual site-visit team was expanded in PY2020-2021 to include subject matter experts from the VALRC staff, who joined with the core VDOE team </w:t>
      </w:r>
      <w:r w:rsidR="00EC4F5C" w:rsidRPr="00025BA2">
        <w:rPr>
          <w:rFonts w:ascii="Trebuchet MS" w:hAnsi="Trebuchet MS" w:cs="Calibri"/>
          <w:sz w:val="23"/>
          <w:szCs w:val="23"/>
        </w:rPr>
        <w:t xml:space="preserve">to become familiar with the monitoring process and </w:t>
      </w:r>
      <w:r w:rsidR="003F2A49" w:rsidRPr="00025BA2">
        <w:rPr>
          <w:rFonts w:ascii="Trebuchet MS" w:hAnsi="Trebuchet MS" w:cs="Calibri"/>
          <w:sz w:val="23"/>
          <w:szCs w:val="23"/>
        </w:rPr>
        <w:t xml:space="preserve">to assume some of the monitoring responsibilities and further streamline the process so that the length of time for each site visit is reduced. </w:t>
      </w:r>
    </w:p>
    <w:p w14:paraId="3B5330C9" w14:textId="35E56B55" w:rsidR="009D32DD" w:rsidRPr="00025BA2" w:rsidRDefault="0089228B" w:rsidP="009D32DD">
      <w:pPr>
        <w:shd w:val="clear" w:color="auto" w:fill="FFFFFF"/>
        <w:spacing w:before="120" w:after="120"/>
        <w:rPr>
          <w:rFonts w:ascii="Trebuchet MS" w:hAnsi="Trebuchet MS"/>
          <w:sz w:val="23"/>
          <w:szCs w:val="23"/>
        </w:rPr>
      </w:pPr>
      <w:r w:rsidRPr="00025BA2">
        <w:rPr>
          <w:rFonts w:ascii="Trebuchet MS" w:hAnsi="Trebuchet MS" w:cs="Calibri"/>
          <w:sz w:val="23"/>
          <w:szCs w:val="23"/>
        </w:rPr>
        <w:t>The Virginia team participat</w:t>
      </w:r>
      <w:r w:rsidR="008D41B2" w:rsidRPr="00025BA2">
        <w:rPr>
          <w:rFonts w:ascii="Trebuchet MS" w:hAnsi="Trebuchet MS" w:cs="Calibri"/>
          <w:sz w:val="23"/>
          <w:szCs w:val="23"/>
        </w:rPr>
        <w:t>ing</w:t>
      </w:r>
      <w:r w:rsidRPr="00025BA2">
        <w:rPr>
          <w:rFonts w:ascii="Trebuchet MS" w:hAnsi="Trebuchet MS" w:cs="Calibri"/>
          <w:sz w:val="23"/>
          <w:szCs w:val="23"/>
        </w:rPr>
        <w:t xml:space="preserve"> in the National Reporting System (NRS) Evaluation Learning Community</w:t>
      </w:r>
      <w:r w:rsidR="008D41B2" w:rsidRPr="00025BA2">
        <w:rPr>
          <w:rFonts w:ascii="Trebuchet MS" w:hAnsi="Trebuchet MS" w:cs="Calibri"/>
          <w:sz w:val="23"/>
          <w:szCs w:val="23"/>
        </w:rPr>
        <w:t xml:space="preserve"> continued gathering and analyzing data through a </w:t>
      </w:r>
      <w:r w:rsidR="00870BE7">
        <w:rPr>
          <w:rFonts w:ascii="Trebuchet MS" w:hAnsi="Trebuchet MS" w:cs="Calibri"/>
          <w:sz w:val="23"/>
          <w:szCs w:val="23"/>
        </w:rPr>
        <w:t>College and Career Readiness Standards (</w:t>
      </w:r>
      <w:r w:rsidR="008D41B2" w:rsidRPr="00025BA2">
        <w:rPr>
          <w:rFonts w:ascii="Trebuchet MS" w:hAnsi="Trebuchet MS" w:cs="Calibri"/>
          <w:sz w:val="23"/>
          <w:szCs w:val="23"/>
        </w:rPr>
        <w:t>CCRS</w:t>
      </w:r>
      <w:r w:rsidR="00870BE7">
        <w:rPr>
          <w:rFonts w:ascii="Trebuchet MS" w:hAnsi="Trebuchet MS" w:cs="Calibri"/>
          <w:sz w:val="23"/>
          <w:szCs w:val="23"/>
        </w:rPr>
        <w:t>)</w:t>
      </w:r>
      <w:r w:rsidR="008D41B2" w:rsidRPr="00025BA2">
        <w:rPr>
          <w:rFonts w:ascii="Trebuchet MS" w:hAnsi="Trebuchet MS" w:cs="Calibri"/>
          <w:sz w:val="23"/>
          <w:szCs w:val="23"/>
        </w:rPr>
        <w:t xml:space="preserve"> instructional practices survey</w:t>
      </w:r>
      <w:r w:rsidRPr="00025BA2">
        <w:rPr>
          <w:rFonts w:ascii="Trebuchet MS" w:hAnsi="Trebuchet MS" w:cs="Calibri"/>
          <w:sz w:val="23"/>
          <w:szCs w:val="23"/>
        </w:rPr>
        <w:t xml:space="preserve">. </w:t>
      </w:r>
      <w:r w:rsidRPr="00025BA2">
        <w:rPr>
          <w:rFonts w:ascii="Trebuchet MS" w:hAnsi="Trebuchet MS" w:cs="Calibri"/>
          <w:i/>
          <w:sz w:val="23"/>
          <w:szCs w:val="23"/>
        </w:rPr>
        <w:t xml:space="preserve">Exploring Relationships Between Standards-based Training, Instructional Practices, and Learner Outcomes, </w:t>
      </w:r>
      <w:r w:rsidR="008D41B2" w:rsidRPr="00025BA2">
        <w:rPr>
          <w:rFonts w:ascii="Trebuchet MS" w:hAnsi="Trebuchet MS" w:cs="Calibri"/>
          <w:sz w:val="23"/>
          <w:szCs w:val="23"/>
        </w:rPr>
        <w:t>examin</w:t>
      </w:r>
      <w:r w:rsidR="008F7860" w:rsidRPr="00025BA2">
        <w:rPr>
          <w:rFonts w:ascii="Trebuchet MS" w:hAnsi="Trebuchet MS" w:cs="Calibri"/>
          <w:sz w:val="23"/>
          <w:szCs w:val="23"/>
        </w:rPr>
        <w:t>in</w:t>
      </w:r>
      <w:r w:rsidR="008D41B2" w:rsidRPr="00025BA2">
        <w:rPr>
          <w:rFonts w:ascii="Trebuchet MS" w:hAnsi="Trebuchet MS" w:cs="Calibri"/>
          <w:sz w:val="23"/>
          <w:szCs w:val="23"/>
        </w:rPr>
        <w:t>g</w:t>
      </w:r>
      <w:r w:rsidRPr="00025BA2">
        <w:rPr>
          <w:rFonts w:ascii="Trebuchet MS" w:hAnsi="Trebuchet MS" w:cs="Calibri"/>
          <w:sz w:val="23"/>
          <w:szCs w:val="23"/>
        </w:rPr>
        <w:t xml:space="preserve"> relationships between training, instructional practice, and learner outcomes to support impactful </w:t>
      </w:r>
      <w:r w:rsidRPr="00025BA2">
        <w:rPr>
          <w:rFonts w:ascii="Trebuchet MS" w:hAnsi="Trebuchet MS" w:cs="Calibri"/>
          <w:color w:val="000000"/>
          <w:sz w:val="23"/>
          <w:szCs w:val="23"/>
        </w:rPr>
        <w:t>PD</w:t>
      </w:r>
      <w:r w:rsidR="008D41B2" w:rsidRPr="00025BA2">
        <w:rPr>
          <w:rFonts w:ascii="Trebuchet MS" w:hAnsi="Trebuchet MS" w:cs="Calibri"/>
          <w:color w:val="000000"/>
          <w:sz w:val="23"/>
          <w:szCs w:val="23"/>
        </w:rPr>
        <w:t xml:space="preserve">, was presented during the American Institutes for Research December </w:t>
      </w:r>
      <w:r w:rsidR="00FF3D43" w:rsidRPr="00025BA2">
        <w:rPr>
          <w:rFonts w:ascii="Trebuchet MS" w:hAnsi="Trebuchet MS" w:cs="Calibri"/>
          <w:color w:val="000000"/>
          <w:sz w:val="23"/>
          <w:szCs w:val="23"/>
        </w:rPr>
        <w:t xml:space="preserve">2020 </w:t>
      </w:r>
      <w:r w:rsidR="008D41B2" w:rsidRPr="00025BA2">
        <w:rPr>
          <w:rFonts w:ascii="Trebuchet MS" w:hAnsi="Trebuchet MS" w:cs="Calibri"/>
          <w:color w:val="000000"/>
          <w:sz w:val="23"/>
          <w:szCs w:val="23"/>
        </w:rPr>
        <w:t>webinar</w:t>
      </w:r>
      <w:r w:rsidRPr="00025BA2">
        <w:rPr>
          <w:rFonts w:ascii="Trebuchet MS" w:hAnsi="Trebuchet MS" w:cs="Calibri"/>
          <w:sz w:val="23"/>
          <w:szCs w:val="23"/>
        </w:rPr>
        <w:t xml:space="preserve">. </w:t>
      </w:r>
    </w:p>
    <w:p w14:paraId="046A519B" w14:textId="77777777" w:rsidR="00070596" w:rsidRPr="00025BA2" w:rsidRDefault="00070596" w:rsidP="00070596">
      <w:pPr>
        <w:pStyle w:val="Heading2"/>
        <w:spacing w:before="120" w:after="120"/>
        <w:rPr>
          <w:rFonts w:ascii="Trebuchet MS" w:hAnsi="Trebuchet MS"/>
          <w:color w:val="259591"/>
          <w:sz w:val="28"/>
        </w:rPr>
      </w:pPr>
      <w:r w:rsidRPr="00025BA2">
        <w:rPr>
          <w:rFonts w:ascii="Trebuchet MS" w:hAnsi="Trebuchet MS"/>
          <w:color w:val="259591"/>
          <w:sz w:val="28"/>
        </w:rPr>
        <w:lastRenderedPageBreak/>
        <w:t>Performance Data Analysis</w:t>
      </w:r>
    </w:p>
    <w:p w14:paraId="66A14D84" w14:textId="7DBD1485" w:rsidR="00FF3D43" w:rsidRPr="004D08C4" w:rsidRDefault="00070596" w:rsidP="00070596">
      <w:pPr>
        <w:spacing w:before="120" w:after="120"/>
        <w:rPr>
          <w:rFonts w:ascii="Trebuchet MS" w:hAnsi="Trebuchet MS" w:cstheme="majorHAnsi"/>
          <w:sz w:val="23"/>
          <w:szCs w:val="23"/>
        </w:rPr>
      </w:pPr>
      <w:r w:rsidRPr="004D08C4">
        <w:rPr>
          <w:rFonts w:ascii="Trebuchet MS" w:hAnsi="Trebuchet MS" w:cstheme="majorHAnsi"/>
          <w:sz w:val="23"/>
          <w:szCs w:val="23"/>
        </w:rPr>
        <w:t>Performance for PY2020-2021 was adversely affected by ongoing pandemic-related restrictions and limitations</w:t>
      </w:r>
      <w:r w:rsidR="00104F15" w:rsidRPr="004D08C4">
        <w:rPr>
          <w:rFonts w:ascii="Trebuchet MS" w:hAnsi="Trebuchet MS" w:cstheme="majorHAnsi"/>
          <w:sz w:val="23"/>
          <w:szCs w:val="23"/>
        </w:rPr>
        <w:t>. S</w:t>
      </w:r>
      <w:r w:rsidR="004E5F88" w:rsidRPr="004D08C4">
        <w:rPr>
          <w:rFonts w:ascii="Trebuchet MS" w:hAnsi="Trebuchet MS" w:cstheme="majorHAnsi"/>
          <w:sz w:val="23"/>
          <w:szCs w:val="23"/>
        </w:rPr>
        <w:t xml:space="preserve">ee </w:t>
      </w:r>
      <w:r w:rsidR="005967E9" w:rsidRPr="004D08C4">
        <w:rPr>
          <w:rFonts w:ascii="Trebuchet MS" w:hAnsi="Trebuchet MS" w:cstheme="majorHAnsi"/>
          <w:sz w:val="23"/>
          <w:szCs w:val="23"/>
        </w:rPr>
        <w:t xml:space="preserve">the </w:t>
      </w:r>
      <w:r w:rsidR="004E5F88" w:rsidRPr="004D08C4">
        <w:rPr>
          <w:rFonts w:ascii="Trebuchet MS" w:hAnsi="Trebuchet MS" w:cstheme="majorHAnsi"/>
          <w:sz w:val="23"/>
          <w:szCs w:val="23"/>
        </w:rPr>
        <w:t xml:space="preserve">recorded </w:t>
      </w:r>
      <w:r w:rsidR="006D6322" w:rsidRPr="004D08C4">
        <w:rPr>
          <w:rFonts w:ascii="Trebuchet MS" w:hAnsi="Trebuchet MS" w:cs="Calibri"/>
          <w:sz w:val="23"/>
          <w:szCs w:val="23"/>
        </w:rPr>
        <w:t>presentation</w:t>
      </w:r>
      <w:r w:rsidR="006D6322" w:rsidRPr="004D08C4">
        <w:rPr>
          <w:rFonts w:ascii="Trebuchet MS" w:hAnsi="Trebuchet MS" w:cs="Calibri"/>
          <w:i/>
          <w:sz w:val="23"/>
          <w:szCs w:val="23"/>
        </w:rPr>
        <w:t xml:space="preserve">, </w:t>
      </w:r>
      <w:hyperlink r:id="rId20" w:history="1">
        <w:r w:rsidR="006D6322" w:rsidRPr="00722F00">
          <w:rPr>
            <w:rStyle w:val="Hyperlink"/>
            <w:rFonts w:ascii="Trebuchet MS" w:hAnsi="Trebuchet MS" w:cs="Calibri"/>
            <w:i/>
            <w:sz w:val="23"/>
            <w:szCs w:val="23"/>
            <w:bdr w:val="none" w:sz="0" w:space="0" w:color="auto" w:frame="1"/>
            <w:shd w:val="clear" w:color="auto" w:fill="FFFFFF"/>
          </w:rPr>
          <w:t>A Look at Virginia’s Adult Education Programs in PY2020-2021</w:t>
        </w:r>
      </w:hyperlink>
      <w:r w:rsidR="006D6322" w:rsidRPr="004D08C4">
        <w:rPr>
          <w:rFonts w:ascii="Trebuchet MS" w:hAnsi="Trebuchet MS" w:cs="Calibri"/>
          <w:i/>
          <w:sz w:val="23"/>
          <w:szCs w:val="23"/>
        </w:rPr>
        <w:t>,</w:t>
      </w:r>
      <w:r w:rsidR="004E5F88" w:rsidRPr="004D08C4">
        <w:rPr>
          <w:rFonts w:ascii="Trebuchet MS" w:hAnsi="Trebuchet MS" w:cs="Calibri"/>
          <w:i/>
          <w:sz w:val="23"/>
          <w:szCs w:val="23"/>
        </w:rPr>
        <w:t xml:space="preserve"> </w:t>
      </w:r>
      <w:r w:rsidR="004E5F88" w:rsidRPr="004D08C4">
        <w:rPr>
          <w:rFonts w:ascii="Trebuchet MS" w:hAnsi="Trebuchet MS" w:cs="Calibri"/>
          <w:sz w:val="23"/>
          <w:szCs w:val="23"/>
        </w:rPr>
        <w:t>that presents</w:t>
      </w:r>
      <w:r w:rsidR="004E5F88" w:rsidRPr="004D08C4">
        <w:rPr>
          <w:rFonts w:ascii="Trebuchet MS" w:hAnsi="Trebuchet MS" w:cstheme="majorHAnsi"/>
          <w:sz w:val="23"/>
          <w:szCs w:val="23"/>
        </w:rPr>
        <w:t xml:space="preserve"> the demographics and program</w:t>
      </w:r>
      <w:r w:rsidR="00104F15" w:rsidRPr="004D08C4">
        <w:rPr>
          <w:rFonts w:ascii="Trebuchet MS" w:hAnsi="Trebuchet MS" w:cstheme="majorHAnsi"/>
          <w:sz w:val="23"/>
          <w:szCs w:val="23"/>
        </w:rPr>
        <w:t xml:space="preserve"> year information</w:t>
      </w:r>
      <w:r w:rsidRPr="004D08C4">
        <w:rPr>
          <w:rFonts w:ascii="Trebuchet MS" w:hAnsi="Trebuchet MS" w:cstheme="majorHAnsi"/>
          <w:sz w:val="23"/>
          <w:szCs w:val="23"/>
        </w:rPr>
        <w:t xml:space="preserve">. </w:t>
      </w:r>
    </w:p>
    <w:p w14:paraId="7DC9692B" w14:textId="51781FD4" w:rsidR="00070596" w:rsidRPr="004D08C4" w:rsidRDefault="00070596" w:rsidP="00070596">
      <w:pPr>
        <w:spacing w:before="120" w:after="120"/>
        <w:rPr>
          <w:rFonts w:ascii="Trebuchet MS" w:hAnsi="Trebuchet MS" w:cstheme="majorHAnsi"/>
          <w:sz w:val="23"/>
          <w:szCs w:val="23"/>
        </w:rPr>
      </w:pPr>
      <w:r w:rsidRPr="004D08C4">
        <w:rPr>
          <w:rFonts w:ascii="Trebuchet MS" w:hAnsi="Trebuchet MS" w:cstheme="majorHAnsi"/>
          <w:sz w:val="23"/>
          <w:szCs w:val="23"/>
        </w:rPr>
        <w:t>Although programs were able to continue offering services, a number of classes were paused or discontinued</w:t>
      </w:r>
      <w:r w:rsidR="00E21399">
        <w:rPr>
          <w:rFonts w:ascii="Trebuchet MS" w:hAnsi="Trebuchet MS" w:cstheme="majorHAnsi"/>
          <w:sz w:val="23"/>
          <w:szCs w:val="23"/>
        </w:rPr>
        <w:t>,</w:t>
      </w:r>
      <w:r w:rsidRPr="004D08C4">
        <w:rPr>
          <w:rFonts w:ascii="Trebuchet MS" w:hAnsi="Trebuchet MS" w:cstheme="majorHAnsi"/>
          <w:sz w:val="23"/>
          <w:szCs w:val="23"/>
        </w:rPr>
        <w:t xml:space="preserve"> and programs struggled to offer pre- and post-assessments either in-person or via online proctoring. In keeping with federal guidance distributed to state adult education agencies, Virginia continued its re-configuration of its MIS to recognize new students as participants without requiring an NRS-approved pre-test and permit programs to assign an NRS-approved post-test when students reached the minimum required number of </w:t>
      </w:r>
      <w:r w:rsidR="004C5CC0" w:rsidRPr="004D08C4">
        <w:rPr>
          <w:rFonts w:ascii="Trebuchet MS" w:hAnsi="Trebuchet MS" w:cstheme="majorHAnsi"/>
          <w:sz w:val="23"/>
          <w:szCs w:val="23"/>
        </w:rPr>
        <w:t>attendance</w:t>
      </w:r>
      <w:r w:rsidRPr="004D08C4">
        <w:rPr>
          <w:rFonts w:ascii="Trebuchet MS" w:hAnsi="Trebuchet MS" w:cstheme="majorHAnsi"/>
          <w:sz w:val="23"/>
          <w:szCs w:val="23"/>
        </w:rPr>
        <w:t xml:space="preserve"> hours for post-testing. For both situations, program staff selected a placeholder assessment name so that the state could </w:t>
      </w:r>
      <w:r w:rsidR="00580A03" w:rsidRPr="004D08C4">
        <w:rPr>
          <w:rFonts w:ascii="Trebuchet MS" w:hAnsi="Trebuchet MS" w:cstheme="majorHAnsi"/>
          <w:sz w:val="23"/>
          <w:szCs w:val="23"/>
        </w:rPr>
        <w:t>track the impact of the restrictions</w:t>
      </w:r>
      <w:r w:rsidRPr="004D08C4">
        <w:rPr>
          <w:rFonts w:ascii="Trebuchet MS" w:hAnsi="Trebuchet MS" w:cstheme="majorHAnsi"/>
          <w:sz w:val="23"/>
          <w:szCs w:val="23"/>
        </w:rPr>
        <w:t xml:space="preserve"> on reporting. </w:t>
      </w:r>
    </w:p>
    <w:p w14:paraId="6AA9473D" w14:textId="528246A6" w:rsidR="00D01C26" w:rsidRPr="004D08C4" w:rsidRDefault="00D01C26" w:rsidP="00D01C26">
      <w:pPr>
        <w:pStyle w:val="CommentText"/>
        <w:rPr>
          <w:rFonts w:ascii="Trebuchet MS" w:hAnsi="Trebuchet MS"/>
          <w:sz w:val="23"/>
          <w:szCs w:val="23"/>
        </w:rPr>
      </w:pPr>
      <w:r w:rsidRPr="004D08C4">
        <w:rPr>
          <w:rFonts w:ascii="Trebuchet MS" w:hAnsi="Trebuchet MS"/>
          <w:sz w:val="23"/>
          <w:szCs w:val="23"/>
        </w:rPr>
        <w:t xml:space="preserve">Virginia continued to track the impact of COVID-related restrictions on testing in 2020-2021 (see Table 1). Not only did the number of test administrations and </w:t>
      </w:r>
      <w:r w:rsidR="00E21399">
        <w:rPr>
          <w:rFonts w:ascii="Trebuchet MS" w:hAnsi="Trebuchet MS"/>
          <w:sz w:val="23"/>
          <w:szCs w:val="23"/>
        </w:rPr>
        <w:t xml:space="preserve">the </w:t>
      </w:r>
      <w:r w:rsidRPr="004D08C4">
        <w:rPr>
          <w:rFonts w:ascii="Trebuchet MS" w:hAnsi="Trebuchet MS"/>
          <w:sz w:val="23"/>
          <w:szCs w:val="23"/>
        </w:rPr>
        <w:t xml:space="preserve">number of test takers directly impacted dramatically increase from the previous year, but overall enrollment and, therefore, the number of all test administrations and </w:t>
      </w:r>
      <w:r w:rsidR="00E21399">
        <w:rPr>
          <w:rFonts w:ascii="Trebuchet MS" w:hAnsi="Trebuchet MS"/>
          <w:sz w:val="23"/>
          <w:szCs w:val="23"/>
        </w:rPr>
        <w:t xml:space="preserve">the </w:t>
      </w:r>
      <w:r w:rsidRPr="004D08C4">
        <w:rPr>
          <w:rFonts w:ascii="Trebuchet MS" w:hAnsi="Trebuchet MS"/>
          <w:sz w:val="23"/>
          <w:szCs w:val="23"/>
        </w:rPr>
        <w:t xml:space="preserve">number of test takers decreased. The combination of trends resulted in an increase in the percentage of placeholder test administrations from 7.7 percent in 2019-2020 to 38.1 percent a year later. Not surprisingly, the percentage of test takers marked with </w:t>
      </w:r>
      <w:r w:rsidR="005A651A" w:rsidRPr="004D08C4">
        <w:rPr>
          <w:rFonts w:ascii="Trebuchet MS" w:hAnsi="Trebuchet MS"/>
          <w:sz w:val="23"/>
          <w:szCs w:val="23"/>
        </w:rPr>
        <w:t xml:space="preserve">COVID </w:t>
      </w:r>
      <w:r w:rsidRPr="004D08C4">
        <w:rPr>
          <w:rFonts w:ascii="Trebuchet MS" w:hAnsi="Trebuchet MS"/>
          <w:sz w:val="23"/>
          <w:szCs w:val="23"/>
        </w:rPr>
        <w:t xml:space="preserve">placeholders experienced a similar </w:t>
      </w:r>
      <w:r w:rsidR="005A651A" w:rsidRPr="004D08C4">
        <w:rPr>
          <w:rFonts w:ascii="Trebuchet MS" w:hAnsi="Trebuchet MS"/>
          <w:sz w:val="23"/>
          <w:szCs w:val="23"/>
        </w:rPr>
        <w:t>increase</w:t>
      </w:r>
      <w:r w:rsidRPr="004D08C4">
        <w:rPr>
          <w:rFonts w:ascii="Trebuchet MS" w:hAnsi="Trebuchet MS"/>
          <w:sz w:val="23"/>
          <w:szCs w:val="23"/>
        </w:rPr>
        <w:t xml:space="preserve"> in the percentage of test takers from 12.9 percent to 46.8 percent.</w:t>
      </w:r>
    </w:p>
    <w:p w14:paraId="1EB9A4DA" w14:textId="2003EEC1" w:rsidR="00070596" w:rsidRPr="004D08C4" w:rsidRDefault="00070596" w:rsidP="00070596">
      <w:pPr>
        <w:spacing w:before="120" w:after="120"/>
        <w:rPr>
          <w:rFonts w:ascii="Trebuchet MS" w:hAnsi="Trebuchet MS" w:cstheme="majorHAnsi"/>
          <w:sz w:val="23"/>
          <w:szCs w:val="23"/>
        </w:rPr>
      </w:pPr>
      <w:r w:rsidRPr="004D08C4">
        <w:rPr>
          <w:rFonts w:ascii="Trebuchet MS" w:hAnsi="Trebuchet MS" w:cstheme="majorHAnsi"/>
          <w:sz w:val="23"/>
          <w:szCs w:val="23"/>
        </w:rPr>
        <w:t xml:space="preserve">Table 1: </w:t>
      </w:r>
      <w:r w:rsidR="00292CED" w:rsidRPr="004D08C4">
        <w:rPr>
          <w:rFonts w:ascii="Trebuchet MS" w:hAnsi="Trebuchet MS" w:cstheme="majorHAnsi"/>
          <w:sz w:val="23"/>
          <w:szCs w:val="23"/>
        </w:rPr>
        <w:t xml:space="preserve">The Impact of COVID-19 </w:t>
      </w:r>
      <w:r w:rsidR="00580A03" w:rsidRPr="004D08C4">
        <w:rPr>
          <w:rFonts w:ascii="Trebuchet MS" w:hAnsi="Trebuchet MS" w:cstheme="majorHAnsi"/>
          <w:sz w:val="23"/>
          <w:szCs w:val="23"/>
        </w:rPr>
        <w:t xml:space="preserve">Restrictions </w:t>
      </w:r>
      <w:r w:rsidR="00722F00">
        <w:rPr>
          <w:rFonts w:ascii="Trebuchet MS" w:hAnsi="Trebuchet MS" w:cstheme="majorHAnsi"/>
          <w:sz w:val="23"/>
          <w:szCs w:val="23"/>
        </w:rPr>
        <w:t>on Testing in 2019-</w:t>
      </w:r>
      <w:r w:rsidR="00292CED" w:rsidRPr="004D08C4">
        <w:rPr>
          <w:rFonts w:ascii="Trebuchet MS" w:hAnsi="Trebuchet MS" w:cstheme="majorHAnsi"/>
          <w:sz w:val="23"/>
          <w:szCs w:val="23"/>
        </w:rPr>
        <w:t>2020 and 2020-2021</w:t>
      </w:r>
    </w:p>
    <w:tbl>
      <w:tblPr>
        <w:tblStyle w:val="TableGrid"/>
        <w:tblW w:w="0" w:type="auto"/>
        <w:tblLook w:val="04A0" w:firstRow="1" w:lastRow="0" w:firstColumn="1" w:lastColumn="0" w:noHBand="0" w:noVBand="1"/>
        <w:tblCaption w:val="Comparison of COVID-19 Impact"/>
        <w:tblDescription w:val="Compares number of adults pre- and post-tested in PY2018-2019 and PY2019-2020."/>
      </w:tblPr>
      <w:tblGrid>
        <w:gridCol w:w="5485"/>
        <w:gridCol w:w="1620"/>
        <w:gridCol w:w="1530"/>
        <w:gridCol w:w="1435"/>
      </w:tblGrid>
      <w:tr w:rsidR="00292CED" w:rsidRPr="004D08C4" w14:paraId="4AE4A52C" w14:textId="77777777" w:rsidTr="00BD7179">
        <w:trPr>
          <w:tblHeader/>
        </w:trPr>
        <w:tc>
          <w:tcPr>
            <w:tcW w:w="5485" w:type="dxa"/>
          </w:tcPr>
          <w:p w14:paraId="1FD869FC" w14:textId="77777777" w:rsidR="00292CED" w:rsidRPr="004D08C4" w:rsidRDefault="00292CED" w:rsidP="00292CED">
            <w:pPr>
              <w:spacing w:before="120" w:after="120"/>
              <w:rPr>
                <w:rFonts w:ascii="Trebuchet MS" w:eastAsia="Times New Roman" w:hAnsi="Trebuchet MS" w:cstheme="majorHAnsi"/>
                <w:sz w:val="23"/>
                <w:szCs w:val="23"/>
              </w:rPr>
            </w:pPr>
            <w:r w:rsidRPr="004D08C4">
              <w:rPr>
                <w:rFonts w:ascii="Trebuchet MS" w:eastAsia="Times New Roman" w:hAnsi="Trebuchet MS" w:cstheme="majorHAnsi"/>
                <w:sz w:val="23"/>
                <w:szCs w:val="23"/>
              </w:rPr>
              <w:t>Program Year</w:t>
            </w:r>
          </w:p>
        </w:tc>
        <w:tc>
          <w:tcPr>
            <w:tcW w:w="1620" w:type="dxa"/>
          </w:tcPr>
          <w:p w14:paraId="4C66B8A5" w14:textId="77777777" w:rsidR="00292CED" w:rsidRPr="004D08C4" w:rsidRDefault="00292CED" w:rsidP="006C13B5">
            <w:pPr>
              <w:spacing w:before="120" w:after="120"/>
              <w:jc w:val="center"/>
              <w:rPr>
                <w:rFonts w:ascii="Trebuchet MS" w:eastAsia="Times New Roman" w:hAnsi="Trebuchet MS" w:cstheme="majorHAnsi"/>
                <w:sz w:val="23"/>
                <w:szCs w:val="23"/>
              </w:rPr>
            </w:pPr>
            <w:r w:rsidRPr="004D08C4">
              <w:rPr>
                <w:rFonts w:ascii="Trebuchet MS" w:eastAsia="Times New Roman" w:hAnsi="Trebuchet MS" w:cstheme="majorHAnsi"/>
                <w:sz w:val="23"/>
                <w:szCs w:val="23"/>
              </w:rPr>
              <w:t>2019-2020</w:t>
            </w:r>
          </w:p>
        </w:tc>
        <w:tc>
          <w:tcPr>
            <w:tcW w:w="1530" w:type="dxa"/>
          </w:tcPr>
          <w:p w14:paraId="1BC67274" w14:textId="77777777" w:rsidR="00292CED" w:rsidRPr="004D08C4" w:rsidRDefault="00292CED" w:rsidP="006C13B5">
            <w:pPr>
              <w:spacing w:before="120" w:after="120"/>
              <w:jc w:val="center"/>
              <w:rPr>
                <w:rFonts w:ascii="Trebuchet MS" w:eastAsia="Times New Roman" w:hAnsi="Trebuchet MS" w:cstheme="majorHAnsi"/>
                <w:sz w:val="23"/>
                <w:szCs w:val="23"/>
              </w:rPr>
            </w:pPr>
            <w:r w:rsidRPr="004D08C4">
              <w:rPr>
                <w:rFonts w:ascii="Trebuchet MS" w:eastAsia="Times New Roman" w:hAnsi="Trebuchet MS" w:cstheme="majorHAnsi"/>
                <w:sz w:val="23"/>
                <w:szCs w:val="23"/>
              </w:rPr>
              <w:t>2020-2021</w:t>
            </w:r>
          </w:p>
        </w:tc>
        <w:tc>
          <w:tcPr>
            <w:tcW w:w="1435" w:type="dxa"/>
          </w:tcPr>
          <w:p w14:paraId="27217DD2" w14:textId="77777777" w:rsidR="00292CED" w:rsidRPr="004D08C4" w:rsidDel="00D63E1C" w:rsidRDefault="00292CED" w:rsidP="006C13B5">
            <w:pPr>
              <w:spacing w:before="120" w:after="120"/>
              <w:jc w:val="center"/>
              <w:rPr>
                <w:rFonts w:ascii="Trebuchet MS" w:eastAsia="Times New Roman" w:hAnsi="Trebuchet MS" w:cstheme="majorHAnsi"/>
                <w:sz w:val="23"/>
                <w:szCs w:val="23"/>
              </w:rPr>
            </w:pPr>
            <w:r w:rsidRPr="004D08C4">
              <w:rPr>
                <w:rFonts w:ascii="Trebuchet MS" w:eastAsia="Times New Roman" w:hAnsi="Trebuchet MS" w:cstheme="majorHAnsi"/>
                <w:sz w:val="23"/>
                <w:szCs w:val="23"/>
              </w:rPr>
              <w:t>Difference</w:t>
            </w:r>
          </w:p>
        </w:tc>
      </w:tr>
      <w:tr w:rsidR="00292CED" w:rsidRPr="004D08C4" w14:paraId="60ECDAF8" w14:textId="77777777" w:rsidTr="00BD7179">
        <w:tc>
          <w:tcPr>
            <w:tcW w:w="5485" w:type="dxa"/>
          </w:tcPr>
          <w:p w14:paraId="40A1788E" w14:textId="1638E08C" w:rsidR="00292CED" w:rsidRPr="004D08C4" w:rsidRDefault="00292CED" w:rsidP="00D01C26">
            <w:pPr>
              <w:spacing w:before="120" w:after="120"/>
              <w:rPr>
                <w:rFonts w:ascii="Trebuchet MS" w:eastAsia="Times New Roman" w:hAnsi="Trebuchet MS" w:cstheme="majorHAnsi"/>
                <w:sz w:val="23"/>
                <w:szCs w:val="23"/>
              </w:rPr>
            </w:pPr>
            <w:r w:rsidRPr="004D08C4">
              <w:rPr>
                <w:rFonts w:ascii="Trebuchet MS" w:eastAsia="Times New Roman" w:hAnsi="Trebuchet MS" w:cstheme="majorHAnsi"/>
                <w:sz w:val="23"/>
                <w:szCs w:val="23"/>
              </w:rPr>
              <w:t>N</w:t>
            </w:r>
            <w:r w:rsidR="00D01C26" w:rsidRPr="004D08C4">
              <w:rPr>
                <w:rFonts w:ascii="Trebuchet MS" w:eastAsia="Times New Roman" w:hAnsi="Trebuchet MS" w:cstheme="majorHAnsi"/>
                <w:sz w:val="23"/>
                <w:szCs w:val="23"/>
              </w:rPr>
              <w:t>umber</w:t>
            </w:r>
            <w:r w:rsidRPr="004D08C4">
              <w:rPr>
                <w:rFonts w:ascii="Trebuchet MS" w:eastAsia="Times New Roman" w:hAnsi="Trebuchet MS" w:cstheme="majorHAnsi"/>
                <w:sz w:val="23"/>
                <w:szCs w:val="23"/>
              </w:rPr>
              <w:t xml:space="preserve"> of Test Administrations</w:t>
            </w:r>
          </w:p>
        </w:tc>
        <w:tc>
          <w:tcPr>
            <w:tcW w:w="1620" w:type="dxa"/>
          </w:tcPr>
          <w:p w14:paraId="0D9AA4D3" w14:textId="77777777" w:rsidR="00292CED" w:rsidRPr="004D08C4"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37,135</w:t>
            </w:r>
          </w:p>
        </w:tc>
        <w:tc>
          <w:tcPr>
            <w:tcW w:w="1530" w:type="dxa"/>
          </w:tcPr>
          <w:p w14:paraId="00B1DFD7" w14:textId="77777777" w:rsidR="00292CED" w:rsidRPr="004D08C4"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21,705</w:t>
            </w:r>
          </w:p>
        </w:tc>
        <w:tc>
          <w:tcPr>
            <w:tcW w:w="1435" w:type="dxa"/>
          </w:tcPr>
          <w:p w14:paraId="42E4DC86" w14:textId="77777777" w:rsidR="00292CED" w:rsidRPr="004D08C4"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-15,430</w:t>
            </w:r>
          </w:p>
        </w:tc>
      </w:tr>
      <w:tr w:rsidR="00292CED" w:rsidRPr="004D08C4" w14:paraId="7D083706" w14:textId="77777777" w:rsidTr="00BD7179">
        <w:tc>
          <w:tcPr>
            <w:tcW w:w="5485" w:type="dxa"/>
          </w:tcPr>
          <w:p w14:paraId="79993CAC" w14:textId="1CB01993" w:rsidR="00292CED" w:rsidRPr="004D08C4" w:rsidRDefault="00292CED" w:rsidP="00D01C26">
            <w:pPr>
              <w:spacing w:before="120" w:after="120"/>
              <w:rPr>
                <w:rFonts w:ascii="Trebuchet MS" w:eastAsia="Times New Roman" w:hAnsi="Trebuchet MS" w:cstheme="majorHAnsi"/>
                <w:sz w:val="23"/>
                <w:szCs w:val="23"/>
              </w:rPr>
            </w:pPr>
            <w:r w:rsidRPr="004D08C4">
              <w:rPr>
                <w:rFonts w:ascii="Trebuchet MS" w:eastAsia="Times New Roman" w:hAnsi="Trebuchet MS" w:cstheme="majorHAnsi"/>
                <w:sz w:val="23"/>
                <w:szCs w:val="23"/>
              </w:rPr>
              <w:t>N</w:t>
            </w:r>
            <w:r w:rsidR="00D01C26" w:rsidRPr="004D08C4">
              <w:rPr>
                <w:rFonts w:ascii="Trebuchet MS" w:eastAsia="Times New Roman" w:hAnsi="Trebuchet MS" w:cstheme="majorHAnsi"/>
                <w:sz w:val="23"/>
                <w:szCs w:val="23"/>
              </w:rPr>
              <w:t>umber</w:t>
            </w:r>
            <w:r w:rsidRPr="004D08C4">
              <w:rPr>
                <w:rFonts w:ascii="Trebuchet MS" w:eastAsia="Times New Roman" w:hAnsi="Trebuchet MS" w:cstheme="majorHAnsi"/>
                <w:sz w:val="23"/>
                <w:szCs w:val="23"/>
              </w:rPr>
              <w:t xml:space="preserve"> of Test Administrations </w:t>
            </w:r>
            <w:r w:rsidR="00D01C26" w:rsidRPr="004D08C4">
              <w:rPr>
                <w:rFonts w:ascii="Trebuchet MS" w:eastAsia="Times New Roman" w:hAnsi="Trebuchet MS" w:cstheme="majorHAnsi"/>
                <w:sz w:val="23"/>
                <w:szCs w:val="23"/>
              </w:rPr>
              <w:t>with a COVID Placeholder</w:t>
            </w:r>
          </w:p>
        </w:tc>
        <w:tc>
          <w:tcPr>
            <w:tcW w:w="1620" w:type="dxa"/>
          </w:tcPr>
          <w:p w14:paraId="06B997DC" w14:textId="77777777" w:rsidR="00292CED" w:rsidRPr="004D08C4"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2,856</w:t>
            </w:r>
          </w:p>
        </w:tc>
        <w:tc>
          <w:tcPr>
            <w:tcW w:w="1530" w:type="dxa"/>
          </w:tcPr>
          <w:p w14:paraId="190392B0" w14:textId="77777777" w:rsidR="00292CED" w:rsidRPr="004D08C4"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8,278</w:t>
            </w:r>
          </w:p>
        </w:tc>
        <w:tc>
          <w:tcPr>
            <w:tcW w:w="1435" w:type="dxa"/>
          </w:tcPr>
          <w:p w14:paraId="391F3385" w14:textId="77777777" w:rsidR="00292CED" w:rsidRPr="004D08C4"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+5,422</w:t>
            </w:r>
          </w:p>
        </w:tc>
      </w:tr>
      <w:tr w:rsidR="00292CED" w:rsidRPr="004D08C4" w14:paraId="5158C644" w14:textId="77777777" w:rsidTr="00BD7179">
        <w:trPr>
          <w:trHeight w:val="557"/>
        </w:trPr>
        <w:tc>
          <w:tcPr>
            <w:tcW w:w="5485" w:type="dxa"/>
          </w:tcPr>
          <w:p w14:paraId="51A1916A" w14:textId="376A59EC" w:rsidR="00292CED" w:rsidRPr="004D08C4" w:rsidRDefault="00292CED" w:rsidP="00D01C26">
            <w:pPr>
              <w:spacing w:before="120" w:after="120"/>
              <w:rPr>
                <w:rFonts w:ascii="Trebuchet MS" w:eastAsia="Times New Roman" w:hAnsi="Trebuchet MS" w:cstheme="majorHAnsi"/>
                <w:sz w:val="23"/>
                <w:szCs w:val="23"/>
              </w:rPr>
            </w:pPr>
            <w:r w:rsidRPr="004D08C4">
              <w:rPr>
                <w:rFonts w:ascii="Trebuchet MS" w:eastAsia="Times New Roman" w:hAnsi="Trebuchet MS" w:cstheme="majorHAnsi"/>
                <w:sz w:val="23"/>
                <w:szCs w:val="23"/>
              </w:rPr>
              <w:t>N</w:t>
            </w:r>
            <w:r w:rsidR="00D01C26" w:rsidRPr="004D08C4">
              <w:rPr>
                <w:rFonts w:ascii="Trebuchet MS" w:eastAsia="Times New Roman" w:hAnsi="Trebuchet MS" w:cstheme="majorHAnsi"/>
                <w:sz w:val="23"/>
                <w:szCs w:val="23"/>
              </w:rPr>
              <w:t>umber</w:t>
            </w:r>
            <w:r w:rsidRPr="004D08C4">
              <w:rPr>
                <w:rFonts w:ascii="Trebuchet MS" w:eastAsia="Times New Roman" w:hAnsi="Trebuchet MS" w:cstheme="majorHAnsi"/>
                <w:sz w:val="23"/>
                <w:szCs w:val="23"/>
              </w:rPr>
              <w:t xml:space="preserve"> of Unique Test Takers</w:t>
            </w:r>
          </w:p>
        </w:tc>
        <w:tc>
          <w:tcPr>
            <w:tcW w:w="1620" w:type="dxa"/>
          </w:tcPr>
          <w:p w14:paraId="3E548273" w14:textId="77777777" w:rsidR="00292CED" w:rsidRPr="004D08C4" w:rsidDel="00DE7D4F"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18,655</w:t>
            </w:r>
          </w:p>
        </w:tc>
        <w:tc>
          <w:tcPr>
            <w:tcW w:w="1530" w:type="dxa"/>
          </w:tcPr>
          <w:p w14:paraId="4B1D41AE" w14:textId="77777777" w:rsidR="00292CED" w:rsidRPr="004D08C4" w:rsidDel="00DE7D4F"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12,318</w:t>
            </w:r>
          </w:p>
        </w:tc>
        <w:tc>
          <w:tcPr>
            <w:tcW w:w="1435" w:type="dxa"/>
          </w:tcPr>
          <w:p w14:paraId="3C6D8A20" w14:textId="77777777" w:rsidR="00292CED" w:rsidRPr="004D08C4"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-6,337</w:t>
            </w:r>
          </w:p>
        </w:tc>
      </w:tr>
      <w:tr w:rsidR="00292CED" w:rsidRPr="004D08C4" w14:paraId="2285E20A" w14:textId="77777777" w:rsidTr="00BD7179">
        <w:trPr>
          <w:trHeight w:val="557"/>
        </w:trPr>
        <w:tc>
          <w:tcPr>
            <w:tcW w:w="5485" w:type="dxa"/>
          </w:tcPr>
          <w:p w14:paraId="55BAF3F8" w14:textId="4A3B225C" w:rsidR="00292CED" w:rsidRPr="004D08C4" w:rsidRDefault="00D01C26" w:rsidP="00D01C26">
            <w:pPr>
              <w:spacing w:before="120" w:after="120"/>
              <w:rPr>
                <w:rFonts w:ascii="Trebuchet MS" w:eastAsia="Times New Roman" w:hAnsi="Trebuchet MS" w:cstheme="majorHAnsi"/>
                <w:sz w:val="23"/>
                <w:szCs w:val="23"/>
              </w:rPr>
            </w:pPr>
            <w:r w:rsidRPr="004D08C4">
              <w:rPr>
                <w:rFonts w:ascii="Trebuchet MS" w:eastAsia="Times New Roman" w:hAnsi="Trebuchet MS" w:cstheme="majorHAnsi"/>
                <w:sz w:val="23"/>
                <w:szCs w:val="23"/>
              </w:rPr>
              <w:t>Number</w:t>
            </w:r>
            <w:r w:rsidR="00292CED" w:rsidRPr="004D08C4">
              <w:rPr>
                <w:rFonts w:ascii="Trebuchet MS" w:eastAsia="Times New Roman" w:hAnsi="Trebuchet MS" w:cstheme="majorHAnsi"/>
                <w:sz w:val="23"/>
                <w:szCs w:val="23"/>
              </w:rPr>
              <w:t xml:space="preserve"> of Test Takers </w:t>
            </w:r>
            <w:r w:rsidRPr="004D08C4">
              <w:rPr>
                <w:rFonts w:ascii="Trebuchet MS" w:eastAsia="Times New Roman" w:hAnsi="Trebuchet MS" w:cstheme="majorHAnsi"/>
                <w:sz w:val="23"/>
                <w:szCs w:val="23"/>
              </w:rPr>
              <w:t>with a</w:t>
            </w:r>
            <w:r w:rsidR="00292CED" w:rsidRPr="004D08C4">
              <w:rPr>
                <w:rFonts w:ascii="Trebuchet MS" w:eastAsia="Times New Roman" w:hAnsi="Trebuchet MS" w:cstheme="majorHAnsi"/>
                <w:sz w:val="23"/>
                <w:szCs w:val="23"/>
              </w:rPr>
              <w:t xml:space="preserve"> COVID</w:t>
            </w:r>
            <w:r w:rsidRPr="004D08C4">
              <w:rPr>
                <w:rFonts w:ascii="Trebuchet MS" w:eastAsia="Times New Roman" w:hAnsi="Trebuchet MS" w:cstheme="majorHAnsi"/>
                <w:sz w:val="23"/>
                <w:szCs w:val="23"/>
              </w:rPr>
              <w:t xml:space="preserve"> Placeholder</w:t>
            </w:r>
          </w:p>
        </w:tc>
        <w:tc>
          <w:tcPr>
            <w:tcW w:w="1620" w:type="dxa"/>
          </w:tcPr>
          <w:p w14:paraId="002E6610" w14:textId="77777777" w:rsidR="00292CED" w:rsidRPr="004D08C4"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2,412</w:t>
            </w:r>
          </w:p>
        </w:tc>
        <w:tc>
          <w:tcPr>
            <w:tcW w:w="1530" w:type="dxa"/>
          </w:tcPr>
          <w:p w14:paraId="0F0E15AF" w14:textId="77777777" w:rsidR="00292CED" w:rsidRPr="004D08C4"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5,765</w:t>
            </w:r>
          </w:p>
        </w:tc>
        <w:tc>
          <w:tcPr>
            <w:tcW w:w="1435" w:type="dxa"/>
          </w:tcPr>
          <w:p w14:paraId="2A6291F3" w14:textId="77777777" w:rsidR="00292CED" w:rsidRPr="004D08C4" w:rsidRDefault="00292CED" w:rsidP="00292CED">
            <w:pPr>
              <w:spacing w:before="120" w:after="120"/>
              <w:jc w:val="right"/>
              <w:rPr>
                <w:rFonts w:ascii="Trebuchet MS" w:eastAsia="Times New Roman" w:hAnsi="Trebuchet MS" w:cstheme="majorHAnsi"/>
                <w:sz w:val="23"/>
                <w:szCs w:val="23"/>
              </w:rPr>
            </w:pPr>
            <w:r w:rsidRPr="004D08C4">
              <w:rPr>
                <w:rFonts w:ascii="Trebuchet MS" w:eastAsia="Times New Roman" w:hAnsi="Trebuchet MS" w:cstheme="majorHAnsi"/>
                <w:sz w:val="23"/>
                <w:szCs w:val="23"/>
              </w:rPr>
              <w:t>+3,353</w:t>
            </w:r>
          </w:p>
        </w:tc>
      </w:tr>
    </w:tbl>
    <w:p w14:paraId="0259E2D2" w14:textId="60E7330C" w:rsidR="00070596" w:rsidRPr="004D08C4" w:rsidRDefault="00070596" w:rsidP="00292CED">
      <w:pPr>
        <w:spacing w:before="240" w:after="120"/>
        <w:rPr>
          <w:rFonts w:ascii="Trebuchet MS" w:hAnsi="Trebuchet MS" w:cstheme="majorHAnsi"/>
          <w:sz w:val="23"/>
          <w:szCs w:val="23"/>
        </w:rPr>
      </w:pPr>
      <w:r w:rsidRPr="004D08C4">
        <w:rPr>
          <w:rFonts w:ascii="Trebuchet MS" w:hAnsi="Trebuchet MS" w:cstheme="majorHAnsi"/>
          <w:sz w:val="23"/>
          <w:szCs w:val="23"/>
        </w:rPr>
        <w:t xml:space="preserve">The Data Advisory PLC engaged in a November session to discuss the PY2020-2021 state aggregate reports and interpret the impact of pandemic-related closures and disruptions. This conversation with data specialists who serve on the Data Advisory PLC assisted the state office in exploring how regional and IELCE programs experienced the trends identified at the state level. </w:t>
      </w:r>
      <w:r w:rsidRPr="004D08C4">
        <w:rPr>
          <w:rFonts w:ascii="Trebuchet MS" w:hAnsi="Trebuchet MS" w:cstheme="majorHAnsi"/>
          <w:color w:val="222222"/>
          <w:sz w:val="23"/>
          <w:szCs w:val="23"/>
          <w:shd w:val="clear" w:color="auto" w:fill="FFFFFF"/>
        </w:rPr>
        <w:t>In particular, program representatives of the Data PLC discussed how virtual instruction options diminished the need for child care and transportation, contributing to a </w:t>
      </w:r>
      <w:r w:rsidR="004C5CC0" w:rsidRPr="004D08C4">
        <w:rPr>
          <w:rFonts w:ascii="Trebuchet MS" w:hAnsi="Trebuchet MS" w:cstheme="majorHAnsi"/>
          <w:color w:val="222222"/>
          <w:sz w:val="23"/>
          <w:szCs w:val="23"/>
          <w:shd w:val="clear" w:color="auto" w:fill="FFFFFF"/>
        </w:rPr>
        <w:t xml:space="preserve">66.6 </w:t>
      </w:r>
      <w:r w:rsidRPr="004D08C4">
        <w:rPr>
          <w:rFonts w:ascii="Trebuchet MS" w:hAnsi="Trebuchet MS" w:cstheme="majorHAnsi"/>
          <w:color w:val="222222"/>
          <w:sz w:val="23"/>
          <w:szCs w:val="23"/>
          <w:shd w:val="clear" w:color="auto" w:fill="FFFFFF"/>
        </w:rPr>
        <w:t xml:space="preserve">percent retention rate and an average 69.7 hours of attendance, and how improved efforts for capturing supplemental data boosted the transition to postsecondary </w:t>
      </w:r>
      <w:r w:rsidR="00E21399">
        <w:rPr>
          <w:rFonts w:ascii="Trebuchet MS" w:hAnsi="Trebuchet MS" w:cstheme="majorHAnsi"/>
          <w:color w:val="222222"/>
          <w:sz w:val="23"/>
          <w:szCs w:val="23"/>
          <w:shd w:val="clear" w:color="auto" w:fill="FFFFFF"/>
        </w:rPr>
        <w:t xml:space="preserve">education </w:t>
      </w:r>
      <w:r w:rsidRPr="004D08C4">
        <w:rPr>
          <w:rFonts w:ascii="Trebuchet MS" w:hAnsi="Trebuchet MS" w:cstheme="majorHAnsi"/>
          <w:color w:val="222222"/>
          <w:sz w:val="23"/>
          <w:szCs w:val="23"/>
          <w:shd w:val="clear" w:color="auto" w:fill="FFFFFF"/>
        </w:rPr>
        <w:t xml:space="preserve">and training </w:t>
      </w:r>
      <w:r w:rsidR="00A177B7" w:rsidRPr="004D08C4">
        <w:rPr>
          <w:rFonts w:ascii="Trebuchet MS" w:hAnsi="Trebuchet MS" w:cstheme="majorHAnsi"/>
          <w:color w:val="222222"/>
          <w:sz w:val="23"/>
          <w:szCs w:val="23"/>
          <w:shd w:val="clear" w:color="auto" w:fill="FFFFFF"/>
        </w:rPr>
        <w:t>gains.</w:t>
      </w:r>
      <w:r w:rsidR="00A177B7" w:rsidRPr="004D08C4">
        <w:rPr>
          <w:rFonts w:ascii="Trebuchet MS" w:hAnsi="Trebuchet MS" w:cstheme="majorHAnsi"/>
          <w:sz w:val="23"/>
          <w:szCs w:val="23"/>
        </w:rPr>
        <w:t xml:space="preserve"> The</w:t>
      </w:r>
      <w:r w:rsidRPr="004D08C4">
        <w:rPr>
          <w:rFonts w:ascii="Trebuchet MS" w:hAnsi="Trebuchet MS" w:cstheme="majorHAnsi"/>
          <w:sz w:val="23"/>
          <w:szCs w:val="23"/>
        </w:rPr>
        <w:t xml:space="preserve"> state’s performance data is also presented annually in October to the Advisory Committee for Adult Education and Literacy for discussion by the committee members.</w:t>
      </w:r>
    </w:p>
    <w:p w14:paraId="4D5F3F2C" w14:textId="4BE6A71E" w:rsidR="00070596" w:rsidRPr="00025BA2" w:rsidRDefault="00070596" w:rsidP="00070596">
      <w:pPr>
        <w:spacing w:before="120" w:after="120"/>
        <w:rPr>
          <w:rFonts w:ascii="Trebuchet MS" w:hAnsi="Trebuchet MS" w:cstheme="majorHAnsi"/>
          <w:sz w:val="23"/>
          <w:szCs w:val="23"/>
        </w:rPr>
      </w:pPr>
      <w:r w:rsidRPr="004D08C4">
        <w:rPr>
          <w:rFonts w:ascii="Trebuchet MS" w:hAnsi="Trebuchet MS" w:cstheme="majorHAnsi"/>
          <w:sz w:val="23"/>
          <w:szCs w:val="23"/>
        </w:rPr>
        <w:t>O</w:t>
      </w:r>
      <w:r w:rsidR="004D08C4">
        <w:rPr>
          <w:rFonts w:ascii="Trebuchet MS" w:hAnsi="Trebuchet MS" w:cstheme="majorHAnsi"/>
          <w:sz w:val="23"/>
          <w:szCs w:val="23"/>
        </w:rPr>
        <w:t>f interest within our data, on several outcome measures</w:t>
      </w:r>
      <w:r w:rsidRPr="004D08C4">
        <w:rPr>
          <w:rFonts w:ascii="Trebuchet MS" w:hAnsi="Trebuchet MS" w:cstheme="majorHAnsi"/>
          <w:sz w:val="23"/>
          <w:szCs w:val="23"/>
        </w:rPr>
        <w:t xml:space="preserve"> IET students outperformed the state aggregate measures in PY2020-2021. IET student records show 38.33 percent employed in the second quarter after exit and 39.49 percent in the fourth quarter compared to the state’s </w:t>
      </w:r>
      <w:r w:rsidRPr="004D08C4">
        <w:rPr>
          <w:rFonts w:ascii="Trebuchet MS" w:hAnsi="Trebuchet MS" w:cstheme="majorHAnsi"/>
          <w:sz w:val="23"/>
          <w:szCs w:val="23"/>
        </w:rPr>
        <w:lastRenderedPageBreak/>
        <w:t>overall rates of 22.53 percent and 23.93 percent, respectively. The rate of attaining a postsecondary credential within one year of exit for IET students was 59.2 percent, compared to the state’s overall rate of 28.18 percent.</w:t>
      </w:r>
    </w:p>
    <w:p w14:paraId="5A074D42" w14:textId="77777777" w:rsidR="00070596" w:rsidRPr="00025BA2" w:rsidRDefault="00070596" w:rsidP="00070596">
      <w:pPr>
        <w:spacing w:before="120" w:after="120"/>
        <w:rPr>
          <w:rFonts w:ascii="Trebuchet MS" w:hAnsi="Trebuchet MS" w:cstheme="majorHAnsi"/>
          <w:sz w:val="23"/>
          <w:szCs w:val="23"/>
        </w:rPr>
      </w:pPr>
      <w:r w:rsidRPr="00025BA2">
        <w:rPr>
          <w:rFonts w:ascii="Trebuchet MS" w:hAnsi="Trebuchet MS" w:cstheme="majorHAnsi"/>
          <w:sz w:val="23"/>
          <w:szCs w:val="23"/>
        </w:rPr>
        <w:t>In PY2020-2021, 28 percent of the state’s total GED</w:t>
      </w:r>
      <w:r w:rsidRPr="00025BA2">
        <w:rPr>
          <w:rFonts w:ascii="Trebuchet MS" w:hAnsi="Trebuchet MS" w:cstheme="majorHAnsi"/>
          <w:sz w:val="23"/>
          <w:szCs w:val="23"/>
          <w:vertAlign w:val="superscript"/>
        </w:rPr>
        <w:t>®</w:t>
      </w:r>
      <w:r w:rsidRPr="00025BA2">
        <w:rPr>
          <w:rFonts w:ascii="Trebuchet MS" w:hAnsi="Trebuchet MS" w:cstheme="majorHAnsi"/>
          <w:sz w:val="23"/>
          <w:szCs w:val="23"/>
        </w:rPr>
        <w:t xml:space="preserve"> graduates attended adult education classes (452 out of 1,619, which excludes in-school youth and local and regional inmates). Virginia’s “Test for Free” campaign continued to promote enrollment in adult education and provide an opportunity for students to earn free testing vouchers. Virginia had a 77 percent pass rate, mirroring the national pass rate for GED</w:t>
      </w:r>
      <w:r w:rsidRPr="00025BA2">
        <w:rPr>
          <w:rFonts w:ascii="Trebuchet MS" w:hAnsi="Trebuchet MS" w:cstheme="majorHAnsi"/>
          <w:sz w:val="23"/>
          <w:szCs w:val="23"/>
          <w:vertAlign w:val="superscript"/>
        </w:rPr>
        <w:t>®</w:t>
      </w:r>
      <w:r w:rsidRPr="00025BA2">
        <w:rPr>
          <w:rFonts w:ascii="Trebuchet MS" w:hAnsi="Trebuchet MS" w:cstheme="majorHAnsi"/>
          <w:sz w:val="23"/>
          <w:szCs w:val="23"/>
        </w:rPr>
        <w:t xml:space="preserve"> completion during the same time period.</w:t>
      </w:r>
    </w:p>
    <w:p w14:paraId="652BB863" w14:textId="77777777" w:rsidR="00070596" w:rsidRPr="00025BA2" w:rsidRDefault="00070596" w:rsidP="00070596">
      <w:pPr>
        <w:spacing w:before="120" w:after="120"/>
        <w:rPr>
          <w:rFonts w:ascii="Trebuchet MS" w:hAnsi="Trebuchet MS" w:cstheme="majorHAnsi"/>
          <w:sz w:val="23"/>
          <w:szCs w:val="23"/>
        </w:rPr>
      </w:pPr>
      <w:r w:rsidRPr="00025BA2">
        <w:rPr>
          <w:rFonts w:ascii="Trebuchet MS" w:hAnsi="Trebuchet MS" w:cstheme="majorHAnsi"/>
          <w:color w:val="222222"/>
          <w:sz w:val="23"/>
          <w:szCs w:val="23"/>
          <w:shd w:val="clear" w:color="auto" w:fill="FFFFFF"/>
        </w:rPr>
        <w:t xml:space="preserve">The number of National External Diploma Program (NEDP) participants decreased from 186 in PY2019-2020 to 174 in PY2020-2021, and the completion rate decreased from 20 </w:t>
      </w:r>
      <w:r w:rsidRPr="00025BA2">
        <w:rPr>
          <w:rFonts w:ascii="Trebuchet MS" w:hAnsi="Trebuchet MS" w:cstheme="majorHAnsi"/>
          <w:sz w:val="23"/>
          <w:szCs w:val="23"/>
          <w:shd w:val="clear" w:color="auto" w:fill="FFFFFF"/>
        </w:rPr>
        <w:t xml:space="preserve">percent (38 graduates) in PY2019-2020 to 15 percent (26 graduates) in PY2020-2021. During PY2020-2021, NEDP practitioners participated in a series of PLCs focused on enhancing program outreach and supporting learner persistence. </w:t>
      </w:r>
      <w:r w:rsidRPr="00025BA2">
        <w:rPr>
          <w:rFonts w:ascii="Trebuchet MS" w:hAnsi="Trebuchet MS" w:cstheme="majorHAnsi"/>
          <w:sz w:val="23"/>
          <w:szCs w:val="23"/>
        </w:rPr>
        <w:t>The VDOE and the VALRC, in collaboration with CASAS, will continue to provide professional development opportunities and individualized technical assistance to program managers and practitioners.</w:t>
      </w:r>
    </w:p>
    <w:p w14:paraId="594D9EE1" w14:textId="77777777" w:rsidR="00070596" w:rsidRPr="00025BA2" w:rsidRDefault="00070596" w:rsidP="00070596">
      <w:pPr>
        <w:pStyle w:val="Heading2"/>
        <w:spacing w:before="120" w:after="120"/>
        <w:rPr>
          <w:rFonts w:ascii="Trebuchet MS" w:hAnsi="Trebuchet MS"/>
          <w:color w:val="259591"/>
          <w:sz w:val="28"/>
        </w:rPr>
      </w:pPr>
      <w:r w:rsidRPr="00025BA2">
        <w:rPr>
          <w:rFonts w:ascii="Trebuchet MS" w:hAnsi="Trebuchet MS"/>
          <w:color w:val="259591"/>
          <w:sz w:val="28"/>
        </w:rPr>
        <w:t>Integration with One-Stop Partners</w:t>
      </w:r>
    </w:p>
    <w:p w14:paraId="11D513AE" w14:textId="77777777" w:rsidR="00070596" w:rsidRPr="00025BA2" w:rsidRDefault="00070596" w:rsidP="00070596">
      <w:pPr>
        <w:spacing w:before="120" w:after="120"/>
        <w:rPr>
          <w:rFonts w:ascii="Trebuchet MS" w:hAnsi="Trebuchet MS" w:cstheme="majorHAnsi"/>
          <w:sz w:val="23"/>
          <w:szCs w:val="23"/>
        </w:rPr>
      </w:pPr>
      <w:r w:rsidRPr="00025BA2">
        <w:rPr>
          <w:rFonts w:ascii="Trebuchet MS" w:hAnsi="Trebuchet MS" w:cstheme="majorHAnsi"/>
          <w:sz w:val="23"/>
          <w:szCs w:val="23"/>
        </w:rPr>
        <w:t xml:space="preserve">In PY2016-2017, the state delegated the roles and responsibilities for addressing one-stop requirements under 34 CFR part 463, subpart J, to the regional program managers and their fiscal agents. Those programs work closely with their local workforce development boards (LWDB) and one-stop operators to coordinate services, identify regional workforce needs, and facilitate access to adult education services through the one-stops, called Virginia Career Works Centers. Virginia has over 50 comprehensive and affiliate Center locations in the 15 workforce regions. In PY2020-2021, 16 regional programs contributed to their Centers either in direct funds or in-kind contributions toward infrastructure in accordance with the MOU established by each LWDB. Most Centers offered online virtual services or very little in-person service for the entire program year, limiting the types of coordination that usually occurs among the WIOA title programs. </w:t>
      </w:r>
    </w:p>
    <w:p w14:paraId="3660A9F1" w14:textId="5D1AE529" w:rsidR="00070596" w:rsidRPr="00025BA2" w:rsidRDefault="00070596" w:rsidP="00070596">
      <w:pPr>
        <w:spacing w:before="120" w:after="120"/>
        <w:rPr>
          <w:rFonts w:ascii="Trebuchet MS" w:hAnsi="Trebuchet MS" w:cstheme="majorHAnsi"/>
          <w:sz w:val="23"/>
          <w:szCs w:val="23"/>
        </w:rPr>
      </w:pPr>
      <w:r w:rsidRPr="00025BA2">
        <w:rPr>
          <w:rFonts w:ascii="Trebuchet MS" w:hAnsi="Trebuchet MS" w:cstheme="majorHAnsi"/>
          <w:sz w:val="23"/>
          <w:szCs w:val="23"/>
        </w:rPr>
        <w:t xml:space="preserve">During the COVID-related closures, communication across partner entities was critical, and agencies as well as local boards began communicating much more frequently about which programs were open for which services and how individuals could request appointments or referrals. For example, the VDOE alerted </w:t>
      </w:r>
      <w:r w:rsidR="00856DDB">
        <w:rPr>
          <w:rFonts w:ascii="Trebuchet MS" w:hAnsi="Trebuchet MS" w:cstheme="majorHAnsi"/>
          <w:sz w:val="23"/>
          <w:szCs w:val="23"/>
        </w:rPr>
        <w:t xml:space="preserve">the </w:t>
      </w:r>
      <w:r w:rsidRPr="00025BA2">
        <w:rPr>
          <w:rFonts w:ascii="Trebuchet MS" w:hAnsi="Trebuchet MS" w:cstheme="majorHAnsi"/>
          <w:sz w:val="23"/>
          <w:szCs w:val="23"/>
        </w:rPr>
        <w:t>LWDB directors and one-stop operators of the assessment flexibilities approved for adult education and emphasized that adult education programs were able to enroll and serve students even in the absence of an assessment. The LWDB network assisted in the promotion of the GED</w:t>
      </w:r>
      <w:r w:rsidRPr="00025BA2">
        <w:rPr>
          <w:rFonts w:ascii="Trebuchet MS" w:hAnsi="Trebuchet MS" w:cstheme="majorHAnsi"/>
          <w:sz w:val="23"/>
          <w:szCs w:val="23"/>
          <w:vertAlign w:val="superscript"/>
        </w:rPr>
        <w:t>®</w:t>
      </w:r>
      <w:r w:rsidRPr="00025BA2">
        <w:rPr>
          <w:rFonts w:ascii="Trebuchet MS" w:hAnsi="Trebuchet MS" w:cstheme="majorHAnsi"/>
          <w:sz w:val="23"/>
          <w:szCs w:val="23"/>
        </w:rPr>
        <w:t xml:space="preserve"> “Test for Free” campaign and the messaging around the importance of completing a secondary credential. </w:t>
      </w:r>
    </w:p>
    <w:p w14:paraId="35645114" w14:textId="78DB976E" w:rsidR="00070596" w:rsidRPr="00025BA2" w:rsidRDefault="00070596" w:rsidP="00070596">
      <w:pPr>
        <w:spacing w:before="120" w:after="120"/>
        <w:rPr>
          <w:rFonts w:ascii="Trebuchet MS" w:hAnsi="Trebuchet MS" w:cstheme="majorHAnsi"/>
          <w:sz w:val="23"/>
          <w:szCs w:val="23"/>
        </w:rPr>
      </w:pPr>
      <w:r w:rsidRPr="00025BA2">
        <w:rPr>
          <w:rFonts w:ascii="Trebuchet MS" w:hAnsi="Trebuchet MS" w:cstheme="majorHAnsi"/>
          <w:color w:val="000000"/>
          <w:sz w:val="23"/>
          <w:szCs w:val="23"/>
        </w:rPr>
        <w:t xml:space="preserve">The </w:t>
      </w:r>
      <w:hyperlink r:id="rId21">
        <w:r w:rsidRPr="00025BA2">
          <w:rPr>
            <w:rFonts w:ascii="Trebuchet MS" w:hAnsi="Trebuchet MS" w:cstheme="majorHAnsi"/>
            <w:color w:val="0563C1"/>
            <w:sz w:val="23"/>
            <w:szCs w:val="23"/>
            <w:u w:val="single"/>
          </w:rPr>
          <w:t>Common Referral Portal</w:t>
        </w:r>
      </w:hyperlink>
      <w:r w:rsidRPr="00025BA2">
        <w:rPr>
          <w:rFonts w:ascii="Trebuchet MS" w:hAnsi="Trebuchet MS" w:cstheme="majorHAnsi"/>
          <w:color w:val="000000"/>
          <w:sz w:val="23"/>
          <w:szCs w:val="23"/>
        </w:rPr>
        <w:t>, launched in May 2020, is a web-based, mobile-friendly tool that can refer users to services that are designed to assist them in finding training, certification, education, and employment services. Individuals seeking services can create an account, answer common intake questions, choose referral recommendations, and begin connecting with services. Currently supported by six state agencies, including the VDOE with AEFLA state leadership funds, the portal is a “no wrong door” approach to service referrals among workforce development agencies and is supported by a Data</w:t>
      </w:r>
      <w:r w:rsidR="00856DDB">
        <w:rPr>
          <w:rFonts w:ascii="Trebuchet MS" w:hAnsi="Trebuchet MS" w:cstheme="majorHAnsi"/>
          <w:color w:val="000000"/>
          <w:sz w:val="23"/>
          <w:szCs w:val="23"/>
        </w:rPr>
        <w:t xml:space="preserve"> </w:t>
      </w:r>
      <w:r w:rsidRPr="00025BA2">
        <w:rPr>
          <w:rFonts w:ascii="Trebuchet MS" w:hAnsi="Trebuchet MS" w:cstheme="majorHAnsi"/>
          <w:color w:val="000000"/>
          <w:sz w:val="23"/>
          <w:szCs w:val="23"/>
        </w:rPr>
        <w:t xml:space="preserve">Trust that allows for the sharing of unique identifiers. Training for adult education practitioners to assist learners in the use of the Portal as a career service continues to be delivered through webinars, newsletter articles, and email blasts. Enhancements to the Portal include the implementation of a Professional Center through </w:t>
      </w:r>
      <w:r w:rsidRPr="00025BA2">
        <w:rPr>
          <w:rFonts w:ascii="Trebuchet MS" w:hAnsi="Trebuchet MS" w:cstheme="majorHAnsi"/>
          <w:color w:val="000000"/>
          <w:sz w:val="23"/>
          <w:szCs w:val="23"/>
        </w:rPr>
        <w:lastRenderedPageBreak/>
        <w:t xml:space="preserve">which career coaches and navigators can be more directly involved in offering career services and making referrals.  </w:t>
      </w:r>
    </w:p>
    <w:p w14:paraId="64872D87" w14:textId="77777777" w:rsidR="00070596" w:rsidRPr="00E93D4E" w:rsidRDefault="00070596" w:rsidP="00070596">
      <w:pPr>
        <w:pStyle w:val="Heading2"/>
        <w:spacing w:before="120" w:after="120"/>
        <w:rPr>
          <w:rFonts w:ascii="Trebuchet MS" w:hAnsi="Trebuchet MS"/>
          <w:color w:val="1C726E"/>
        </w:rPr>
      </w:pPr>
      <w:r w:rsidRPr="00E93D4E">
        <w:rPr>
          <w:rFonts w:ascii="Trebuchet MS" w:hAnsi="Trebuchet MS"/>
          <w:color w:val="1C726E"/>
        </w:rPr>
        <w:t>Integrated English Literacy and Civics Education Program (AEFLA Section 243)</w:t>
      </w:r>
    </w:p>
    <w:p w14:paraId="2DB9DAF0" w14:textId="5FAE92F2" w:rsidR="00070596" w:rsidRPr="00025BA2" w:rsidRDefault="00070596" w:rsidP="00070596">
      <w:pPr>
        <w:spacing w:before="120" w:after="120"/>
        <w:rPr>
          <w:rFonts w:ascii="Trebuchet MS" w:hAnsi="Trebuchet MS" w:cs="Calibri"/>
          <w:sz w:val="23"/>
          <w:szCs w:val="23"/>
        </w:rPr>
      </w:pPr>
      <w:r w:rsidRPr="00025BA2">
        <w:rPr>
          <w:rFonts w:ascii="Trebuchet MS" w:hAnsi="Trebuchet MS" w:cs="Calibri"/>
          <w:sz w:val="23"/>
          <w:szCs w:val="23"/>
        </w:rPr>
        <w:t xml:space="preserve">The VDOE held a multi-year competition in 2020 for PY2020-2023 awards and was able to maintain the proposed timeline despite the COVID-related closures. Announcements of the competition were posted in eight newspapers, and a pre-bidder’s webinar was held in January 2020. The competition presented two opportunities: applications to offer adult education (Section 231) with corrections education and other institutionalized individuals (Section 225) programs and applications to offer integrated English literacy and civics education (Section 243) programs. Seventeen IELCE applicants were awarded for the three-year cycle. The IELCE programs are clustered in the high-immigrant population areas of Northern Virginia, Richmond City, Charlottesville, and the Hampton Roads area. Four additional programs are in the rural agricultural areas of the New River Valley, Shenandoah Valley, and Eastern Shore. IELCE applicants were required to offer or partner to offer an IET in an industry aligned to their local workforce development board’s strategic plan or regional economic analysis. Applicants mapped their plans and partners’ contributions onto the </w:t>
      </w:r>
      <w:hyperlink r:id="rId22" w:history="1">
        <w:r w:rsidRPr="00025BA2">
          <w:rPr>
            <w:rStyle w:val="Hyperlink"/>
            <w:rFonts w:ascii="Trebuchet MS" w:hAnsi="Trebuchet MS" w:cs="Calibri"/>
            <w:sz w:val="23"/>
            <w:szCs w:val="23"/>
          </w:rPr>
          <w:t>IET Planning Tool</w:t>
        </w:r>
      </w:hyperlink>
      <w:r w:rsidRPr="00025BA2">
        <w:rPr>
          <w:rFonts w:ascii="Trebuchet MS" w:hAnsi="Trebuchet MS" w:cs="Calibri"/>
          <w:sz w:val="23"/>
          <w:szCs w:val="23"/>
        </w:rPr>
        <w:t xml:space="preserve">, a graphic organizer required for all IETs. </w:t>
      </w:r>
    </w:p>
    <w:p w14:paraId="4E10EF9F" w14:textId="1BA10938" w:rsidR="00070596" w:rsidRPr="00025BA2" w:rsidRDefault="00070596" w:rsidP="00070596">
      <w:pPr>
        <w:spacing w:before="120" w:after="120"/>
        <w:rPr>
          <w:rFonts w:ascii="Trebuchet MS" w:hAnsi="Trebuchet MS" w:cs="Calibri"/>
          <w:sz w:val="23"/>
          <w:szCs w:val="23"/>
        </w:rPr>
      </w:pPr>
      <w:r w:rsidRPr="00025BA2">
        <w:rPr>
          <w:rFonts w:ascii="Trebuchet MS" w:hAnsi="Trebuchet MS" w:cs="Calibri"/>
          <w:sz w:val="23"/>
          <w:szCs w:val="23"/>
        </w:rPr>
        <w:t xml:space="preserve">In PY2020-2021, there were 2,489 IELCE participants statewide, 280 of whom participated in IET programs. The IET enrollment represents 11 percent of the total IELCE enrollment and 24 percent of the state’s total IET enrollment. Aligning occupational training to the language capabilities of English language learners remains a challenge for programs; some programs continue to create opportunities that scaffold the foundational skills necessary to be successful in occupational training. IET programs in PY2020-2021 were offered for students from all program types in occupational clusters including child care, technology, transportation, trades, healthcare, manufacturing, hospitality, and customer service. Credentials earned included Certified Nursing Assistant, Certified Medical Assistant, Pharmacy Technician, </w:t>
      </w:r>
      <w:proofErr w:type="spellStart"/>
      <w:r w:rsidRPr="00025BA2">
        <w:rPr>
          <w:rFonts w:ascii="Trebuchet MS" w:hAnsi="Trebuchet MS" w:cs="Calibri"/>
          <w:sz w:val="23"/>
          <w:szCs w:val="23"/>
        </w:rPr>
        <w:t>Serv</w:t>
      </w:r>
      <w:r w:rsidR="00A177B7" w:rsidRPr="00025BA2">
        <w:rPr>
          <w:rFonts w:ascii="Trebuchet MS" w:hAnsi="Trebuchet MS" w:cs="Calibri"/>
          <w:sz w:val="23"/>
          <w:szCs w:val="23"/>
        </w:rPr>
        <w:t>S</w:t>
      </w:r>
      <w:r w:rsidRPr="00025BA2">
        <w:rPr>
          <w:rFonts w:ascii="Trebuchet MS" w:hAnsi="Trebuchet MS" w:cs="Calibri"/>
          <w:sz w:val="23"/>
          <w:szCs w:val="23"/>
        </w:rPr>
        <w:t>afe</w:t>
      </w:r>
      <w:proofErr w:type="spellEnd"/>
      <w:r w:rsidRPr="00025BA2">
        <w:rPr>
          <w:rFonts w:ascii="Trebuchet MS" w:hAnsi="Trebuchet MS" w:cs="Calibri"/>
          <w:sz w:val="23"/>
          <w:szCs w:val="23"/>
        </w:rPr>
        <w:t xml:space="preserve"> Manager, </w:t>
      </w:r>
      <w:r w:rsidR="009B11F5" w:rsidRPr="009B11F5">
        <w:rPr>
          <w:rFonts w:ascii="Trebuchet MS" w:hAnsi="Trebuchet MS" w:cs="Calibri"/>
          <w:sz w:val="23"/>
          <w:szCs w:val="23"/>
        </w:rPr>
        <w:t xml:space="preserve">National Center for Construction Education &amp; Research </w:t>
      </w:r>
      <w:r w:rsidR="009B11F5">
        <w:rPr>
          <w:rFonts w:ascii="Trebuchet MS" w:hAnsi="Trebuchet MS" w:cs="Calibri"/>
          <w:sz w:val="23"/>
          <w:szCs w:val="23"/>
        </w:rPr>
        <w:t>(</w:t>
      </w:r>
      <w:r w:rsidRPr="00025BA2">
        <w:rPr>
          <w:rFonts w:ascii="Trebuchet MS" w:hAnsi="Trebuchet MS" w:cs="Calibri"/>
          <w:sz w:val="23"/>
          <w:szCs w:val="23"/>
        </w:rPr>
        <w:t>NCCER</w:t>
      </w:r>
      <w:r w:rsidR="009B11F5">
        <w:rPr>
          <w:rFonts w:ascii="Trebuchet MS" w:hAnsi="Trebuchet MS" w:cs="Calibri"/>
          <w:sz w:val="23"/>
          <w:szCs w:val="23"/>
        </w:rPr>
        <w:t>)</w:t>
      </w:r>
      <w:r w:rsidRPr="00025BA2">
        <w:rPr>
          <w:rFonts w:ascii="Trebuchet MS" w:hAnsi="Trebuchet MS" w:cs="Calibri"/>
          <w:sz w:val="23"/>
          <w:szCs w:val="23"/>
        </w:rPr>
        <w:t xml:space="preserve"> Core, Child Development Associate Level 1, Microsoft Office Specialist, Guest Service Professional, Welding, and Commercial Driver’s License. </w:t>
      </w:r>
    </w:p>
    <w:p w14:paraId="7AC576B5" w14:textId="1C44BFE6" w:rsidR="00070596" w:rsidRPr="00025BA2" w:rsidRDefault="00070596" w:rsidP="00070596">
      <w:pPr>
        <w:spacing w:before="120" w:after="120"/>
        <w:rPr>
          <w:rFonts w:ascii="Trebuchet MS" w:hAnsi="Trebuchet MS" w:cs="Calibri"/>
          <w:color w:val="373737"/>
          <w:sz w:val="23"/>
          <w:szCs w:val="23"/>
        </w:rPr>
      </w:pPr>
      <w:r w:rsidRPr="00025BA2">
        <w:rPr>
          <w:rFonts w:ascii="Trebuchet MS" w:hAnsi="Trebuchet MS" w:cs="Calibri"/>
          <w:sz w:val="23"/>
          <w:szCs w:val="23"/>
        </w:rPr>
        <w:t xml:space="preserve">A video tutorial was produced and disseminated through a collaborative effort between the VDOE, VALRC, and the Virginia Community College System (VCCS) to share innovations and important considerations for IET design and delivery. The </w:t>
      </w:r>
      <w:hyperlink r:id="rId23" w:history="1">
        <w:r w:rsidRPr="00025BA2">
          <w:rPr>
            <w:rStyle w:val="Hyperlink"/>
            <w:rFonts w:ascii="Trebuchet MS" w:hAnsi="Trebuchet MS" w:cs="Calibri"/>
            <w:sz w:val="23"/>
            <w:szCs w:val="23"/>
          </w:rPr>
          <w:t>video</w:t>
        </w:r>
      </w:hyperlink>
      <w:r w:rsidRPr="00025BA2">
        <w:rPr>
          <w:rFonts w:ascii="Trebuchet MS" w:hAnsi="Trebuchet MS" w:cs="Calibri"/>
          <w:sz w:val="23"/>
          <w:szCs w:val="23"/>
        </w:rPr>
        <w:t xml:space="preserve"> covers how IETs fit into Virginia’s vision of the Combined State Plan, the benefits of using IET</w:t>
      </w:r>
      <w:r w:rsidR="00B66ECA" w:rsidRPr="00025BA2">
        <w:rPr>
          <w:rFonts w:ascii="Trebuchet MS" w:hAnsi="Trebuchet MS" w:cs="Calibri"/>
          <w:sz w:val="23"/>
          <w:szCs w:val="23"/>
        </w:rPr>
        <w:t>s</w:t>
      </w:r>
      <w:r w:rsidRPr="00025BA2">
        <w:rPr>
          <w:rFonts w:ascii="Trebuchet MS" w:hAnsi="Trebuchet MS" w:cs="Calibri"/>
          <w:sz w:val="23"/>
          <w:szCs w:val="23"/>
        </w:rPr>
        <w:t xml:space="preserve"> to offer transformative learning for adults, considerations with IET students, funding opportunities, and technical assistance with IET planning tools. </w:t>
      </w:r>
      <w:r w:rsidRPr="00025BA2">
        <w:rPr>
          <w:rFonts w:ascii="Trebuchet MS" w:hAnsi="Trebuchet MS" w:cs="Calibri"/>
          <w:color w:val="373737"/>
          <w:sz w:val="23"/>
          <w:szCs w:val="23"/>
          <w:bdr w:val="none" w:sz="0" w:space="0" w:color="auto" w:frame="1"/>
        </w:rPr>
        <w:t xml:space="preserve">In August 2020, the VDOE and VALRC facilitated a two-day IET summit, </w:t>
      </w:r>
      <w:r w:rsidRPr="00025BA2">
        <w:rPr>
          <w:rFonts w:ascii="Trebuchet MS" w:hAnsi="Trebuchet MS" w:cs="Calibri"/>
          <w:i/>
          <w:sz w:val="23"/>
          <w:szCs w:val="23"/>
        </w:rPr>
        <w:t>Redesigning IET</w:t>
      </w:r>
      <w:r w:rsidRPr="00025BA2">
        <w:rPr>
          <w:rFonts w:ascii="Trebuchet MS" w:hAnsi="Trebuchet MS" w:cs="Calibri"/>
          <w:sz w:val="23"/>
          <w:szCs w:val="23"/>
        </w:rPr>
        <w:t>,</w:t>
      </w:r>
      <w:r w:rsidRPr="00025BA2">
        <w:rPr>
          <w:rFonts w:ascii="Trebuchet MS" w:hAnsi="Trebuchet MS" w:cs="Calibri"/>
          <w:color w:val="373737"/>
          <w:sz w:val="23"/>
          <w:szCs w:val="23"/>
          <w:bdr w:val="none" w:sz="0" w:space="0" w:color="auto" w:frame="1"/>
        </w:rPr>
        <w:t xml:space="preserve"> </w:t>
      </w:r>
      <w:r w:rsidRPr="00246FE4">
        <w:rPr>
          <w:rFonts w:ascii="Trebuchet MS" w:hAnsi="Trebuchet MS" w:cs="Calibri"/>
          <w:sz w:val="23"/>
          <w:szCs w:val="23"/>
          <w:bdr w:val="none" w:sz="0" w:space="0" w:color="auto" w:frame="1"/>
        </w:rPr>
        <w:t>for all adult education programs to focus on redesigning IETs for new distance-oriented learning environments. The meeting focused on virtual and distance instructional delivery, online credential options, support for English</w:t>
      </w:r>
      <w:r w:rsidR="00450C7C" w:rsidRPr="00246FE4">
        <w:rPr>
          <w:rFonts w:ascii="Trebuchet MS" w:hAnsi="Trebuchet MS" w:cs="Calibri"/>
          <w:sz w:val="23"/>
          <w:szCs w:val="23"/>
          <w:bdr w:val="none" w:sz="0" w:space="0" w:color="auto" w:frame="1"/>
        </w:rPr>
        <w:t xml:space="preserve"> language</w:t>
      </w:r>
      <w:r w:rsidRPr="00246FE4">
        <w:rPr>
          <w:rFonts w:ascii="Trebuchet MS" w:hAnsi="Trebuchet MS" w:cs="Calibri"/>
          <w:sz w:val="23"/>
          <w:szCs w:val="23"/>
          <w:bdr w:val="none" w:sz="0" w:space="0" w:color="auto" w:frame="1"/>
        </w:rPr>
        <w:t xml:space="preserve"> learners in IETs, and workshopping the </w:t>
      </w:r>
      <w:hyperlink r:id="rId24" w:history="1">
        <w:r w:rsidRPr="00025BA2">
          <w:rPr>
            <w:rStyle w:val="Hyperlink"/>
            <w:rFonts w:ascii="Trebuchet MS" w:hAnsi="Trebuchet MS" w:cs="Calibri"/>
            <w:sz w:val="23"/>
            <w:szCs w:val="23"/>
            <w:bdr w:val="none" w:sz="0" w:space="0" w:color="auto" w:frame="1"/>
          </w:rPr>
          <w:t>IET Planning Tool</w:t>
        </w:r>
      </w:hyperlink>
      <w:r w:rsidRPr="00025BA2">
        <w:rPr>
          <w:rFonts w:ascii="Trebuchet MS" w:hAnsi="Trebuchet MS" w:cs="Calibri"/>
          <w:color w:val="373737"/>
          <w:sz w:val="23"/>
          <w:szCs w:val="23"/>
          <w:bdr w:val="none" w:sz="0" w:space="0" w:color="auto" w:frame="1"/>
        </w:rPr>
        <w:t xml:space="preserve"> </w:t>
      </w:r>
      <w:r w:rsidRPr="00246FE4">
        <w:rPr>
          <w:rFonts w:ascii="Trebuchet MS" w:hAnsi="Trebuchet MS" w:cs="Calibri"/>
          <w:sz w:val="23"/>
          <w:szCs w:val="23"/>
          <w:bdr w:val="none" w:sz="0" w:space="0" w:color="auto" w:frame="1"/>
        </w:rPr>
        <w:t xml:space="preserve">to develop fully integrated IET </w:t>
      </w:r>
      <w:r w:rsidR="00B66ECA" w:rsidRPr="00246FE4">
        <w:rPr>
          <w:rFonts w:ascii="Trebuchet MS" w:hAnsi="Trebuchet MS" w:cs="Calibri"/>
          <w:sz w:val="23"/>
          <w:szCs w:val="23"/>
          <w:bdr w:val="none" w:sz="0" w:space="0" w:color="auto" w:frame="1"/>
        </w:rPr>
        <w:t>programs</w:t>
      </w:r>
      <w:r w:rsidRPr="00246FE4">
        <w:rPr>
          <w:rFonts w:ascii="Trebuchet MS" w:hAnsi="Trebuchet MS" w:cs="Calibri"/>
          <w:sz w:val="23"/>
          <w:szCs w:val="23"/>
          <w:bdr w:val="none" w:sz="0" w:space="0" w:color="auto" w:frame="1"/>
        </w:rPr>
        <w:t xml:space="preserve">. </w:t>
      </w:r>
      <w:r w:rsidRPr="00246FE4">
        <w:rPr>
          <w:rFonts w:ascii="Trebuchet MS" w:hAnsi="Trebuchet MS" w:cs="Calibri"/>
          <w:sz w:val="23"/>
          <w:szCs w:val="23"/>
        </w:rPr>
        <w:t>Many programs were able to identify credentials that could be earned online</w:t>
      </w:r>
      <w:r w:rsidR="00B66ECA" w:rsidRPr="00246FE4">
        <w:rPr>
          <w:rFonts w:ascii="Trebuchet MS" w:hAnsi="Trebuchet MS" w:cs="Calibri"/>
          <w:sz w:val="23"/>
          <w:szCs w:val="23"/>
        </w:rPr>
        <w:t xml:space="preserve"> </w:t>
      </w:r>
      <w:r w:rsidRPr="00246FE4">
        <w:rPr>
          <w:rFonts w:ascii="Trebuchet MS" w:hAnsi="Trebuchet MS" w:cs="Calibri"/>
          <w:sz w:val="23"/>
          <w:szCs w:val="23"/>
        </w:rPr>
        <w:t>via hybrid arrangements or confirm a plan with their training partners to allow for socially-distanced training.</w:t>
      </w:r>
      <w:r w:rsidRPr="00246FE4">
        <w:rPr>
          <w:rFonts w:ascii="Trebuchet MS" w:hAnsi="Trebuchet MS" w:cs="Calibri"/>
          <w:sz w:val="23"/>
          <w:szCs w:val="23"/>
          <w:bdr w:val="none" w:sz="0" w:space="0" w:color="auto" w:frame="1"/>
        </w:rPr>
        <w:t xml:space="preserve"> Outcomes of the summit were shared on the</w:t>
      </w:r>
      <w:r w:rsidRPr="00025BA2">
        <w:rPr>
          <w:rFonts w:ascii="Trebuchet MS" w:hAnsi="Trebuchet MS" w:cs="Calibri"/>
          <w:color w:val="373737"/>
          <w:sz w:val="23"/>
          <w:szCs w:val="23"/>
          <w:bdr w:val="none" w:sz="0" w:space="0" w:color="auto" w:frame="1"/>
        </w:rPr>
        <w:t xml:space="preserve"> </w:t>
      </w:r>
      <w:hyperlink r:id="rId25" w:history="1">
        <w:r w:rsidRPr="003B0A0B">
          <w:rPr>
            <w:rStyle w:val="Hyperlink"/>
            <w:rFonts w:ascii="Trebuchet MS" w:hAnsi="Trebuchet MS" w:cs="Calibri"/>
            <w:sz w:val="23"/>
            <w:szCs w:val="23"/>
            <w:bdr w:val="none" w:sz="0" w:space="0" w:color="auto" w:frame="1"/>
          </w:rPr>
          <w:t>Redesigning IET Technical Assistance Resources</w:t>
        </w:r>
        <w:r w:rsidRPr="00025BA2">
          <w:rPr>
            <w:rStyle w:val="Hyperlink"/>
            <w:rFonts w:ascii="Trebuchet MS" w:hAnsi="Trebuchet MS" w:cs="Calibri"/>
            <w:i/>
            <w:sz w:val="23"/>
            <w:szCs w:val="23"/>
            <w:bdr w:val="none" w:sz="0" w:space="0" w:color="auto" w:frame="1"/>
          </w:rPr>
          <w:t xml:space="preserve"> </w:t>
        </w:r>
        <w:r w:rsidRPr="00025BA2">
          <w:rPr>
            <w:rStyle w:val="Hyperlink"/>
            <w:rFonts w:ascii="Trebuchet MS" w:hAnsi="Trebuchet MS" w:cs="Calibri"/>
            <w:sz w:val="23"/>
            <w:szCs w:val="23"/>
            <w:bdr w:val="none" w:sz="0" w:space="0" w:color="auto" w:frame="1"/>
          </w:rPr>
          <w:t>page</w:t>
        </w:r>
      </w:hyperlink>
      <w:r w:rsidRPr="00025BA2">
        <w:rPr>
          <w:rFonts w:ascii="Trebuchet MS" w:hAnsi="Trebuchet MS" w:cs="Calibri"/>
          <w:color w:val="373737"/>
          <w:sz w:val="23"/>
          <w:szCs w:val="23"/>
          <w:bdr w:val="none" w:sz="0" w:space="0" w:color="auto" w:frame="1"/>
        </w:rPr>
        <w:t xml:space="preserve"> </w:t>
      </w:r>
      <w:r w:rsidRPr="00246FE4">
        <w:rPr>
          <w:rFonts w:ascii="Trebuchet MS" w:hAnsi="Trebuchet MS" w:cs="Calibri"/>
          <w:sz w:val="23"/>
          <w:szCs w:val="23"/>
          <w:bdr w:val="none" w:sz="0" w:space="0" w:color="auto" w:frame="1"/>
        </w:rPr>
        <w:t xml:space="preserve">of the </w:t>
      </w:r>
      <w:r w:rsidRPr="00246FE4">
        <w:rPr>
          <w:rFonts w:ascii="Trebuchet MS" w:hAnsi="Trebuchet MS" w:cs="Calibri"/>
          <w:i/>
          <w:sz w:val="23"/>
          <w:szCs w:val="23"/>
          <w:bdr w:val="none" w:sz="0" w:space="0" w:color="auto" w:frame="1"/>
        </w:rPr>
        <w:t>IET Blueprint</w:t>
      </w:r>
      <w:r w:rsidRPr="00025BA2">
        <w:rPr>
          <w:rFonts w:ascii="Trebuchet MS" w:hAnsi="Trebuchet MS" w:cs="Calibri"/>
          <w:color w:val="373737"/>
          <w:sz w:val="23"/>
          <w:szCs w:val="23"/>
          <w:bdr w:val="none" w:sz="0" w:space="0" w:color="auto" w:frame="1"/>
        </w:rPr>
        <w:t xml:space="preserve"> which was demonstrated during a subsequent program manager meeting. IET/IELCE implementation technical assistance was provide</w:t>
      </w:r>
      <w:r w:rsidR="00045283">
        <w:rPr>
          <w:rFonts w:ascii="Trebuchet MS" w:hAnsi="Trebuchet MS" w:cs="Calibri"/>
          <w:color w:val="373737"/>
          <w:sz w:val="23"/>
          <w:szCs w:val="23"/>
          <w:bdr w:val="none" w:sz="0" w:space="0" w:color="auto" w:frame="1"/>
        </w:rPr>
        <w:t>d</w:t>
      </w:r>
      <w:r w:rsidRPr="00025BA2">
        <w:rPr>
          <w:rFonts w:ascii="Trebuchet MS" w:hAnsi="Trebuchet MS" w:cs="Calibri"/>
          <w:color w:val="373737"/>
          <w:sz w:val="23"/>
          <w:szCs w:val="23"/>
          <w:bdr w:val="none" w:sz="0" w:space="0" w:color="auto" w:frame="1"/>
        </w:rPr>
        <w:t xml:space="preserve"> through phone, email, Zoom, webinars, and the redesign of the IET Blueprint.</w:t>
      </w:r>
    </w:p>
    <w:p w14:paraId="0467F6B1" w14:textId="77777777" w:rsidR="00070596" w:rsidRPr="00025BA2" w:rsidRDefault="00070596" w:rsidP="00070596">
      <w:pPr>
        <w:spacing w:before="120" w:after="120"/>
        <w:rPr>
          <w:rFonts w:ascii="Trebuchet MS" w:hAnsi="Trebuchet MS" w:cs="Calibri"/>
          <w:sz w:val="23"/>
          <w:szCs w:val="23"/>
        </w:rPr>
      </w:pPr>
      <w:r w:rsidRPr="00025BA2">
        <w:rPr>
          <w:rFonts w:ascii="Trebuchet MS" w:hAnsi="Trebuchet MS" w:cs="Calibri"/>
          <w:sz w:val="23"/>
          <w:szCs w:val="23"/>
        </w:rPr>
        <w:t xml:space="preserve">Programs consult with their LWDB plans to prepare and place students for in-demand occupations and provide career services to students either by a program-based career navigator </w:t>
      </w:r>
      <w:r w:rsidRPr="00025BA2">
        <w:rPr>
          <w:rFonts w:ascii="Trebuchet MS" w:hAnsi="Trebuchet MS" w:cs="Calibri"/>
          <w:sz w:val="23"/>
          <w:szCs w:val="23"/>
        </w:rPr>
        <w:lastRenderedPageBreak/>
        <w:t xml:space="preserve">or by hosting regular access to a career coach from the local community college or Career Works Center. These services continued to be offered remotely through teleconferencing and individual appointments. Programs also serve businesses in their communities by announcing and promoting job openings to students and hosting recruitment activities such as career fairs, many of which were held virtually. These activities are reported to the VDOE quarterly. </w:t>
      </w:r>
    </w:p>
    <w:p w14:paraId="236F9E5F" w14:textId="359A6297" w:rsidR="00070596" w:rsidRPr="00025BA2" w:rsidRDefault="00070596" w:rsidP="00070596">
      <w:pPr>
        <w:spacing w:before="120" w:after="120"/>
        <w:rPr>
          <w:rFonts w:ascii="Trebuchet MS" w:hAnsi="Trebuchet MS" w:cs="Calibri"/>
          <w:b/>
          <w:sz w:val="23"/>
          <w:szCs w:val="23"/>
        </w:rPr>
      </w:pPr>
      <w:r w:rsidRPr="00025BA2">
        <w:rPr>
          <w:rFonts w:ascii="Trebuchet MS" w:hAnsi="Trebuchet MS" w:cs="Calibri"/>
          <w:sz w:val="23"/>
          <w:szCs w:val="23"/>
        </w:rPr>
        <w:t xml:space="preserve">The VDOE recognized that programs needed additional training on preparing to report post-exit indicators. A three-day mandatory training for program managers and data specialists, </w:t>
      </w:r>
      <w:r w:rsidRPr="00025BA2">
        <w:rPr>
          <w:rFonts w:ascii="Trebuchet MS" w:hAnsi="Trebuchet MS" w:cs="Calibri"/>
          <w:i/>
          <w:sz w:val="23"/>
          <w:szCs w:val="23"/>
        </w:rPr>
        <w:t>Understanding and Improving Performance Indicators</w:t>
      </w:r>
      <w:r w:rsidRPr="00025BA2">
        <w:rPr>
          <w:rFonts w:ascii="Trebuchet MS" w:hAnsi="Trebuchet MS" w:cs="Calibri"/>
          <w:sz w:val="23"/>
          <w:szCs w:val="23"/>
        </w:rPr>
        <w:t>, was delivered in fall of 2020 based on the NRS materials on the importance of collecting barriers to employment and social security numbers for student follow-up. The purpose of the training was to provide program staff with a deeper understanding of the performance indicators identified in WIOA to develop and articulate a plan for improving program performance. Training attendees spent time identifying strategies for expanding their data collection efforts, such as providing multiple opportunities to solicit this information. Continuation</w:t>
      </w:r>
      <w:r w:rsidR="00045283">
        <w:rPr>
          <w:rFonts w:ascii="Trebuchet MS" w:hAnsi="Trebuchet MS" w:cs="Calibri"/>
          <w:sz w:val="23"/>
          <w:szCs w:val="23"/>
        </w:rPr>
        <w:t>-</w:t>
      </w:r>
      <w:r w:rsidRPr="00025BA2">
        <w:rPr>
          <w:rFonts w:ascii="Trebuchet MS" w:hAnsi="Trebuchet MS" w:cs="Calibri"/>
          <w:sz w:val="23"/>
          <w:szCs w:val="23"/>
        </w:rPr>
        <w:t>year applications, submitted in April 2021, asked grantees to describe their data management processes, documenting changes based on the training. One result is an uptick in the percentage of students who shared their social security numbers</w:t>
      </w:r>
      <w:r w:rsidR="00045283">
        <w:rPr>
          <w:rFonts w:ascii="Trebuchet MS" w:hAnsi="Trebuchet MS" w:cs="Calibri"/>
          <w:sz w:val="23"/>
          <w:szCs w:val="23"/>
        </w:rPr>
        <w:t xml:space="preserve"> (SSN)</w:t>
      </w:r>
      <w:r w:rsidRPr="00025BA2">
        <w:rPr>
          <w:rFonts w:ascii="Trebuchet MS" w:hAnsi="Trebuchet MS" w:cs="Calibri"/>
          <w:sz w:val="23"/>
          <w:szCs w:val="23"/>
        </w:rPr>
        <w:t xml:space="preserve"> for employment matching; in PY2020-2021, 50 percent of students shared their </w:t>
      </w:r>
      <w:r w:rsidRPr="00045283">
        <w:rPr>
          <w:rFonts w:ascii="Trebuchet MS" w:hAnsi="Trebuchet MS" w:cs="Calibri"/>
          <w:sz w:val="23"/>
          <w:szCs w:val="23"/>
        </w:rPr>
        <w:t>SSN,</w:t>
      </w:r>
      <w:r w:rsidRPr="00025BA2">
        <w:rPr>
          <w:rFonts w:ascii="Trebuchet MS" w:hAnsi="Trebuchet MS" w:cs="Calibri"/>
          <w:sz w:val="23"/>
          <w:szCs w:val="23"/>
        </w:rPr>
        <w:t xml:space="preserve"> up from 43 percent the previous year. </w:t>
      </w:r>
      <w:r w:rsidR="00045283">
        <w:rPr>
          <w:rFonts w:ascii="Trebuchet MS" w:hAnsi="Trebuchet MS" w:cs="Calibri"/>
          <w:sz w:val="23"/>
          <w:szCs w:val="23"/>
        </w:rPr>
        <w:t>P</w:t>
      </w:r>
      <w:r w:rsidRPr="00025BA2">
        <w:rPr>
          <w:rFonts w:ascii="Trebuchet MS" w:hAnsi="Trebuchet MS" w:cs="Calibri"/>
          <w:sz w:val="23"/>
          <w:szCs w:val="23"/>
        </w:rPr>
        <w:t xml:space="preserve">ost-exit </w:t>
      </w:r>
      <w:r w:rsidR="00B66ECA" w:rsidRPr="00025BA2">
        <w:rPr>
          <w:rFonts w:ascii="Trebuchet MS" w:hAnsi="Trebuchet MS" w:cs="Calibri"/>
          <w:sz w:val="23"/>
          <w:szCs w:val="23"/>
        </w:rPr>
        <w:t xml:space="preserve">indicators </w:t>
      </w:r>
      <w:r w:rsidRPr="00025BA2">
        <w:rPr>
          <w:rFonts w:ascii="Trebuchet MS" w:hAnsi="Trebuchet MS" w:cs="Calibri"/>
          <w:sz w:val="23"/>
          <w:szCs w:val="23"/>
        </w:rPr>
        <w:t xml:space="preserve">reported </w:t>
      </w:r>
      <w:r w:rsidR="00045283">
        <w:rPr>
          <w:rFonts w:ascii="Trebuchet MS" w:hAnsi="Trebuchet MS" w:cs="Calibri"/>
          <w:sz w:val="23"/>
          <w:szCs w:val="23"/>
        </w:rPr>
        <w:t xml:space="preserve">in </w:t>
      </w:r>
      <w:r w:rsidR="00045283" w:rsidRPr="00025BA2">
        <w:rPr>
          <w:rFonts w:ascii="Trebuchet MS" w:hAnsi="Trebuchet MS" w:cs="Calibri"/>
          <w:sz w:val="23"/>
          <w:szCs w:val="23"/>
        </w:rPr>
        <w:t xml:space="preserve">PY2020-2021 </w:t>
      </w:r>
      <w:r w:rsidRPr="00025BA2">
        <w:rPr>
          <w:rFonts w:ascii="Trebuchet MS" w:hAnsi="Trebuchet MS" w:cs="Calibri"/>
          <w:sz w:val="23"/>
          <w:szCs w:val="23"/>
        </w:rPr>
        <w:t>for IELCE students in the follow-up cohort indicate that 15.86 percent were employed in the second quarter after exit, 17.97 percent were employed in the fourth quarter after exit, and 11.9 percent attained a recognized postsecondary credential within one year of exit.</w:t>
      </w:r>
    </w:p>
    <w:p w14:paraId="00000049" w14:textId="77777777" w:rsidR="001C1C59" w:rsidRPr="00025BA2" w:rsidRDefault="00850007" w:rsidP="00471583">
      <w:pPr>
        <w:pStyle w:val="Heading2"/>
        <w:spacing w:before="120" w:after="120"/>
        <w:rPr>
          <w:rFonts w:ascii="Trebuchet MS" w:hAnsi="Trebuchet MS" w:cs="Times New Roman"/>
          <w:color w:val="259591"/>
          <w:sz w:val="28"/>
          <w:szCs w:val="23"/>
        </w:rPr>
      </w:pPr>
      <w:r w:rsidRPr="00025BA2">
        <w:rPr>
          <w:rFonts w:ascii="Trebuchet MS" w:hAnsi="Trebuchet MS" w:cs="Times New Roman"/>
          <w:color w:val="259591"/>
          <w:sz w:val="28"/>
          <w:szCs w:val="23"/>
        </w:rPr>
        <w:t>Adult Education Standards</w:t>
      </w:r>
    </w:p>
    <w:p w14:paraId="15045F85" w14:textId="7679AF6F" w:rsidR="00E537FE" w:rsidRPr="00025BA2" w:rsidRDefault="00E537FE" w:rsidP="00471583">
      <w:pPr>
        <w:spacing w:before="120" w:after="120"/>
        <w:rPr>
          <w:rFonts w:ascii="Trebuchet MS" w:hAnsi="Trebuchet MS" w:cs="Calibri"/>
          <w:sz w:val="23"/>
          <w:szCs w:val="23"/>
        </w:rPr>
      </w:pPr>
      <w:r w:rsidRPr="00025BA2">
        <w:rPr>
          <w:rFonts w:ascii="Trebuchet MS" w:hAnsi="Trebuchet MS" w:cs="Calibri"/>
          <w:sz w:val="23"/>
          <w:szCs w:val="23"/>
        </w:rPr>
        <w:t>Since the</w:t>
      </w:r>
      <w:r w:rsidR="008F1F59" w:rsidRPr="00025BA2">
        <w:rPr>
          <w:rFonts w:ascii="Trebuchet MS" w:hAnsi="Trebuchet MS" w:cs="Calibri"/>
          <w:sz w:val="23"/>
          <w:szCs w:val="23"/>
        </w:rPr>
        <w:t xml:space="preserve"> adoption of the CCRS in 2016</w:t>
      </w:r>
      <w:r w:rsidRPr="00025BA2">
        <w:rPr>
          <w:rFonts w:ascii="Trebuchet MS" w:hAnsi="Trebuchet MS" w:cs="Calibri"/>
          <w:sz w:val="23"/>
          <w:szCs w:val="23"/>
        </w:rPr>
        <w:t xml:space="preserve">, </w:t>
      </w:r>
      <w:r w:rsidR="008F1F59" w:rsidRPr="00025BA2">
        <w:rPr>
          <w:rFonts w:ascii="Trebuchet MS" w:hAnsi="Trebuchet MS" w:cs="Calibri"/>
          <w:sz w:val="23"/>
          <w:szCs w:val="23"/>
        </w:rPr>
        <w:t xml:space="preserve">the </w:t>
      </w:r>
      <w:r w:rsidRPr="00025BA2">
        <w:rPr>
          <w:rFonts w:ascii="Trebuchet MS" w:hAnsi="Trebuchet MS" w:cs="Calibri"/>
          <w:sz w:val="23"/>
          <w:szCs w:val="23"/>
        </w:rPr>
        <w:t xml:space="preserve">VDOE and </w:t>
      </w:r>
      <w:r w:rsidR="004973FA" w:rsidRPr="00025BA2">
        <w:rPr>
          <w:rFonts w:ascii="Trebuchet MS" w:hAnsi="Trebuchet MS" w:cs="Calibri"/>
          <w:sz w:val="23"/>
          <w:szCs w:val="23"/>
        </w:rPr>
        <w:t xml:space="preserve">the </w:t>
      </w:r>
      <w:r w:rsidRPr="00025BA2">
        <w:rPr>
          <w:rFonts w:ascii="Trebuchet MS" w:hAnsi="Trebuchet MS" w:cs="Calibri"/>
          <w:sz w:val="23"/>
          <w:szCs w:val="23"/>
        </w:rPr>
        <w:t xml:space="preserve">VALRC have been implementing training and technical assistance and institutionalizing the use of </w:t>
      </w:r>
      <w:r w:rsidR="00BE55D5" w:rsidRPr="00025BA2">
        <w:rPr>
          <w:rFonts w:ascii="Trebuchet MS" w:hAnsi="Trebuchet MS" w:cs="Calibri"/>
          <w:sz w:val="23"/>
          <w:szCs w:val="23"/>
        </w:rPr>
        <w:t>SBI</w:t>
      </w:r>
      <w:r w:rsidRPr="00025BA2">
        <w:rPr>
          <w:rFonts w:ascii="Trebuchet MS" w:hAnsi="Trebuchet MS" w:cs="Calibri"/>
          <w:sz w:val="23"/>
          <w:szCs w:val="23"/>
        </w:rPr>
        <w:t xml:space="preserve"> through practices and grant requirements. Virginia is now in what Susan </w:t>
      </w:r>
      <w:r w:rsidR="00CA4B95" w:rsidRPr="00025BA2">
        <w:rPr>
          <w:rFonts w:ascii="Trebuchet MS" w:hAnsi="Trebuchet MS" w:cs="Calibri"/>
          <w:sz w:val="23"/>
          <w:szCs w:val="23"/>
        </w:rPr>
        <w:t>Pimentel</w:t>
      </w:r>
      <w:r w:rsidRPr="00025BA2">
        <w:rPr>
          <w:rFonts w:ascii="Trebuchet MS" w:hAnsi="Trebuchet MS" w:cs="Calibri"/>
          <w:sz w:val="23"/>
          <w:szCs w:val="23"/>
        </w:rPr>
        <w:t xml:space="preserve">, in the </w:t>
      </w:r>
      <w:r w:rsidRPr="00025BA2">
        <w:rPr>
          <w:rFonts w:ascii="Trebuchet MS" w:hAnsi="Trebuchet MS" w:cs="Calibri"/>
          <w:i/>
          <w:sz w:val="23"/>
          <w:szCs w:val="23"/>
        </w:rPr>
        <w:t>Handbook for Sustaining Standards-based Instruction in Adult Education</w:t>
      </w:r>
      <w:r w:rsidRPr="00025BA2">
        <w:rPr>
          <w:rFonts w:ascii="Trebuchet MS" w:hAnsi="Trebuchet MS" w:cs="Calibri"/>
          <w:sz w:val="23"/>
          <w:szCs w:val="23"/>
        </w:rPr>
        <w:t xml:space="preserve"> (2014), </w:t>
      </w:r>
      <w:r w:rsidR="00AC0E54" w:rsidRPr="00025BA2">
        <w:rPr>
          <w:rFonts w:ascii="Trebuchet MS" w:hAnsi="Trebuchet MS" w:cs="Calibri"/>
          <w:sz w:val="23"/>
          <w:szCs w:val="23"/>
        </w:rPr>
        <w:t>describes</w:t>
      </w:r>
      <w:r w:rsidRPr="00025BA2">
        <w:rPr>
          <w:rFonts w:ascii="Trebuchet MS" w:hAnsi="Trebuchet MS" w:cs="Calibri"/>
          <w:sz w:val="23"/>
          <w:szCs w:val="23"/>
        </w:rPr>
        <w:t xml:space="preserve"> as Stage Four implementation, “Initiating a Scale-Up Plan: Sustaining Momentum, Progress, and Creative Renewal.” </w:t>
      </w:r>
      <w:r w:rsidR="00A96A81" w:rsidRPr="00025BA2">
        <w:rPr>
          <w:rFonts w:ascii="Trebuchet MS" w:hAnsi="Trebuchet MS" w:cs="Calibri"/>
          <w:sz w:val="23"/>
          <w:szCs w:val="23"/>
        </w:rPr>
        <w:t xml:space="preserve">The VDOE competitive grant </w:t>
      </w:r>
      <w:r w:rsidRPr="00025BA2">
        <w:rPr>
          <w:rFonts w:ascii="Trebuchet MS" w:hAnsi="Trebuchet MS" w:cs="Calibri"/>
          <w:sz w:val="23"/>
          <w:szCs w:val="23"/>
        </w:rPr>
        <w:t xml:space="preserve">requirements promote large-scale replication while </w:t>
      </w:r>
      <w:r w:rsidR="004973FA" w:rsidRPr="00025BA2">
        <w:rPr>
          <w:rFonts w:ascii="Trebuchet MS" w:hAnsi="Trebuchet MS" w:cs="Calibri"/>
          <w:sz w:val="23"/>
          <w:szCs w:val="23"/>
        </w:rPr>
        <w:t xml:space="preserve">the </w:t>
      </w:r>
      <w:r w:rsidRPr="00025BA2">
        <w:rPr>
          <w:rFonts w:ascii="Trebuchet MS" w:hAnsi="Trebuchet MS" w:cs="Calibri"/>
          <w:sz w:val="23"/>
          <w:szCs w:val="23"/>
        </w:rPr>
        <w:t xml:space="preserve">VALRC provides a variety of options for successful implementation in anticipation of management and instructor turnover. </w:t>
      </w:r>
    </w:p>
    <w:p w14:paraId="63D134AD" w14:textId="248EBBE5" w:rsidR="00E537FE" w:rsidRPr="00025BA2" w:rsidRDefault="00E537FE" w:rsidP="00471583">
      <w:pPr>
        <w:spacing w:before="120" w:after="120"/>
        <w:rPr>
          <w:rFonts w:ascii="Trebuchet MS" w:hAnsi="Trebuchet MS" w:cs="Calibri"/>
          <w:sz w:val="23"/>
          <w:szCs w:val="23"/>
        </w:rPr>
      </w:pPr>
      <w:r w:rsidRPr="00025BA2">
        <w:rPr>
          <w:rFonts w:ascii="Trebuchet MS" w:hAnsi="Trebuchet MS" w:cs="Calibri"/>
          <w:sz w:val="23"/>
          <w:szCs w:val="23"/>
        </w:rPr>
        <w:t xml:space="preserve">An annual review and update of the </w:t>
      </w:r>
      <w:r w:rsidRPr="00025BA2">
        <w:rPr>
          <w:rFonts w:ascii="Trebuchet MS" w:hAnsi="Trebuchet MS" w:cs="Calibri"/>
          <w:i/>
          <w:sz w:val="23"/>
          <w:szCs w:val="23"/>
        </w:rPr>
        <w:t>Implementing Standards-Based Instruction in Virginia: A Technical Assistance Roadmap</w:t>
      </w:r>
      <w:r w:rsidRPr="00025BA2">
        <w:rPr>
          <w:rFonts w:ascii="Trebuchet MS" w:hAnsi="Trebuchet MS" w:cs="Calibri"/>
          <w:sz w:val="23"/>
          <w:szCs w:val="23"/>
        </w:rPr>
        <w:t xml:space="preserve">, available on the </w:t>
      </w:r>
      <w:r w:rsidR="0064286C" w:rsidRPr="00025BA2">
        <w:rPr>
          <w:rFonts w:ascii="Trebuchet MS" w:hAnsi="Trebuchet MS" w:cs="Calibri"/>
          <w:sz w:val="23"/>
          <w:szCs w:val="23"/>
        </w:rPr>
        <w:t xml:space="preserve">SBI resource </w:t>
      </w:r>
      <w:hyperlink r:id="rId26" w:history="1">
        <w:r w:rsidR="0064286C" w:rsidRPr="00025BA2">
          <w:rPr>
            <w:rStyle w:val="Hyperlink"/>
            <w:rFonts w:ascii="Trebuchet MS" w:hAnsi="Trebuchet MS" w:cs="Calibri"/>
            <w:sz w:val="23"/>
            <w:szCs w:val="23"/>
          </w:rPr>
          <w:t>webpage</w:t>
        </w:r>
      </w:hyperlink>
      <w:r w:rsidR="00AC0E54" w:rsidRPr="00025BA2">
        <w:rPr>
          <w:rFonts w:ascii="Trebuchet MS" w:hAnsi="Trebuchet MS" w:cs="Calibri"/>
          <w:sz w:val="23"/>
          <w:szCs w:val="23"/>
        </w:rPr>
        <w:t xml:space="preserve"> of the VALRC website</w:t>
      </w:r>
      <w:r w:rsidRPr="00025BA2">
        <w:rPr>
          <w:rFonts w:ascii="Trebuchet MS" w:hAnsi="Trebuchet MS" w:cs="Calibri"/>
          <w:sz w:val="23"/>
          <w:szCs w:val="23"/>
        </w:rPr>
        <w:t xml:space="preserve">, defines “full implementation” of SBI and provides technical assistance in the key areas of program design, instruction, and </w:t>
      </w:r>
      <w:r w:rsidR="005B6323" w:rsidRPr="00025BA2">
        <w:rPr>
          <w:rFonts w:ascii="Trebuchet MS" w:hAnsi="Trebuchet MS" w:cs="Calibri"/>
          <w:sz w:val="23"/>
          <w:szCs w:val="23"/>
        </w:rPr>
        <w:t>PD</w:t>
      </w:r>
      <w:r w:rsidRPr="00025BA2">
        <w:rPr>
          <w:rFonts w:ascii="Trebuchet MS" w:hAnsi="Trebuchet MS" w:cs="Calibri"/>
          <w:sz w:val="23"/>
          <w:szCs w:val="23"/>
        </w:rPr>
        <w:t xml:space="preserve">. </w:t>
      </w:r>
      <w:r w:rsidR="002F076C" w:rsidRPr="00025BA2">
        <w:rPr>
          <w:rFonts w:ascii="Trebuchet MS" w:hAnsi="Trebuchet MS" w:cs="Calibri"/>
          <w:sz w:val="23"/>
          <w:szCs w:val="23"/>
        </w:rPr>
        <w:t xml:space="preserve">An increased focus on implementation of </w:t>
      </w:r>
      <w:r w:rsidR="00B66ECA" w:rsidRPr="00025BA2">
        <w:rPr>
          <w:rFonts w:ascii="Trebuchet MS" w:hAnsi="Trebuchet MS" w:cs="Calibri"/>
          <w:sz w:val="23"/>
          <w:szCs w:val="23"/>
        </w:rPr>
        <w:t xml:space="preserve">the </w:t>
      </w:r>
      <w:r w:rsidR="002F076C" w:rsidRPr="00025BA2">
        <w:rPr>
          <w:rFonts w:ascii="Trebuchet MS" w:hAnsi="Trebuchet MS" w:cs="Calibri"/>
          <w:sz w:val="23"/>
          <w:szCs w:val="23"/>
        </w:rPr>
        <w:t xml:space="preserve">English Language </w:t>
      </w:r>
      <w:r w:rsidR="008F7860" w:rsidRPr="00025BA2">
        <w:rPr>
          <w:rFonts w:ascii="Trebuchet MS" w:hAnsi="Trebuchet MS" w:cs="Calibri"/>
          <w:sz w:val="23"/>
          <w:szCs w:val="23"/>
        </w:rPr>
        <w:t>Proficiency</w:t>
      </w:r>
      <w:r w:rsidR="002F076C" w:rsidRPr="00025BA2">
        <w:rPr>
          <w:rFonts w:ascii="Trebuchet MS" w:hAnsi="Trebuchet MS" w:cs="Calibri"/>
          <w:sz w:val="23"/>
          <w:szCs w:val="23"/>
        </w:rPr>
        <w:t xml:space="preserve"> Standards (ELPS) occurred during 2020-21, </w:t>
      </w:r>
      <w:r w:rsidR="00516676" w:rsidRPr="00025BA2">
        <w:rPr>
          <w:rFonts w:ascii="Trebuchet MS" w:hAnsi="Trebuchet MS" w:cs="Calibri"/>
          <w:sz w:val="23"/>
          <w:szCs w:val="23"/>
        </w:rPr>
        <w:t>primarily</w:t>
      </w:r>
      <w:r w:rsidR="002F076C" w:rsidRPr="00025BA2">
        <w:rPr>
          <w:rFonts w:ascii="Trebuchet MS" w:hAnsi="Trebuchet MS" w:cs="Calibri"/>
          <w:sz w:val="23"/>
          <w:szCs w:val="23"/>
        </w:rPr>
        <w:t xml:space="preserve"> on using the Virginia SBI Observation Tool in remote settings. </w:t>
      </w:r>
    </w:p>
    <w:p w14:paraId="7F88770C" w14:textId="36D43770" w:rsidR="00EC12F4" w:rsidRPr="00025BA2" w:rsidRDefault="00E537FE">
      <w:pPr>
        <w:spacing w:before="120" w:after="120"/>
        <w:rPr>
          <w:rFonts w:ascii="Trebuchet MS" w:hAnsi="Trebuchet MS" w:cs="Calibri"/>
          <w:sz w:val="23"/>
          <w:szCs w:val="23"/>
        </w:rPr>
      </w:pPr>
      <w:r w:rsidRPr="00025BA2">
        <w:rPr>
          <w:rFonts w:ascii="Trebuchet MS" w:hAnsi="Trebuchet MS" w:cs="Calibri"/>
          <w:sz w:val="23"/>
          <w:szCs w:val="23"/>
        </w:rPr>
        <w:t xml:space="preserve">Virginia </w:t>
      </w:r>
      <w:r w:rsidR="002F076C" w:rsidRPr="00025BA2">
        <w:rPr>
          <w:rFonts w:ascii="Trebuchet MS" w:hAnsi="Trebuchet MS" w:cs="Calibri"/>
          <w:sz w:val="23"/>
          <w:szCs w:val="23"/>
        </w:rPr>
        <w:t xml:space="preserve">continued </w:t>
      </w:r>
      <w:r w:rsidR="007F2AAC" w:rsidRPr="00025BA2">
        <w:rPr>
          <w:rFonts w:ascii="Trebuchet MS" w:hAnsi="Trebuchet MS" w:cs="Calibri"/>
          <w:sz w:val="23"/>
          <w:szCs w:val="23"/>
        </w:rPr>
        <w:t xml:space="preserve">its virtual </w:t>
      </w:r>
      <w:r w:rsidR="002F076C" w:rsidRPr="00025BA2">
        <w:rPr>
          <w:rFonts w:ascii="Trebuchet MS" w:hAnsi="Trebuchet MS" w:cs="Calibri"/>
          <w:sz w:val="23"/>
          <w:szCs w:val="23"/>
        </w:rPr>
        <w:t>p</w:t>
      </w:r>
      <w:r w:rsidRPr="00025BA2">
        <w:rPr>
          <w:rFonts w:ascii="Trebuchet MS" w:hAnsi="Trebuchet MS" w:cs="Calibri"/>
          <w:sz w:val="23"/>
          <w:szCs w:val="23"/>
        </w:rPr>
        <w:t>articipation</w:t>
      </w:r>
      <w:r w:rsidR="002F076C" w:rsidRPr="00025BA2">
        <w:rPr>
          <w:rFonts w:ascii="Trebuchet MS" w:hAnsi="Trebuchet MS" w:cs="Calibri"/>
          <w:sz w:val="23"/>
          <w:szCs w:val="23"/>
        </w:rPr>
        <w:t xml:space="preserve"> </w:t>
      </w:r>
      <w:r w:rsidRPr="00025BA2">
        <w:rPr>
          <w:rFonts w:ascii="Trebuchet MS" w:hAnsi="Trebuchet MS" w:cs="Calibri"/>
          <w:sz w:val="23"/>
          <w:szCs w:val="23"/>
        </w:rPr>
        <w:t xml:space="preserve">in </w:t>
      </w:r>
      <w:r w:rsidR="00EC12F4" w:rsidRPr="00025BA2">
        <w:rPr>
          <w:rFonts w:ascii="Trebuchet MS" w:hAnsi="Trebuchet MS" w:cs="Calibri"/>
          <w:sz w:val="23"/>
          <w:szCs w:val="23"/>
        </w:rPr>
        <w:t xml:space="preserve">disseminating </w:t>
      </w:r>
      <w:r w:rsidRPr="00025BA2">
        <w:rPr>
          <w:rFonts w:ascii="Trebuchet MS" w:hAnsi="Trebuchet MS" w:cs="Calibri"/>
          <w:sz w:val="23"/>
          <w:szCs w:val="23"/>
        </w:rPr>
        <w:t xml:space="preserve">the </w:t>
      </w:r>
      <w:hyperlink r:id="rId27">
        <w:r w:rsidR="0089325D">
          <w:rPr>
            <w:rFonts w:ascii="Trebuchet MS" w:hAnsi="Trebuchet MS" w:cs="Calibri"/>
            <w:i/>
            <w:sz w:val="23"/>
            <w:szCs w:val="23"/>
          </w:rPr>
          <w:t>Teaching</w:t>
        </w:r>
        <w:r w:rsidRPr="00025BA2">
          <w:rPr>
            <w:rFonts w:ascii="Trebuchet MS" w:hAnsi="Trebuchet MS" w:cs="Calibri"/>
            <w:i/>
            <w:sz w:val="23"/>
            <w:szCs w:val="23"/>
          </w:rPr>
          <w:t xml:space="preserve"> Skills that Matter</w:t>
        </w:r>
        <w:r w:rsidRPr="00025BA2">
          <w:rPr>
            <w:rFonts w:ascii="Trebuchet MS" w:hAnsi="Trebuchet MS" w:cs="Calibri"/>
            <w:sz w:val="23"/>
            <w:szCs w:val="23"/>
          </w:rPr>
          <w:t xml:space="preserve"> (TSTM)</w:t>
        </w:r>
      </w:hyperlink>
      <w:r w:rsidRPr="00025BA2">
        <w:rPr>
          <w:rFonts w:ascii="Trebuchet MS" w:hAnsi="Trebuchet MS" w:cs="Calibri"/>
          <w:sz w:val="23"/>
          <w:szCs w:val="23"/>
        </w:rPr>
        <w:t xml:space="preserve"> </w:t>
      </w:r>
      <w:r w:rsidR="00EC12F4" w:rsidRPr="00025BA2">
        <w:rPr>
          <w:rFonts w:ascii="Trebuchet MS" w:hAnsi="Trebuchet MS" w:cs="Calibri"/>
          <w:sz w:val="23"/>
          <w:szCs w:val="23"/>
        </w:rPr>
        <w:t>nine essential “skills that matter” in standards-aligned</w:t>
      </w:r>
      <w:r w:rsidR="00F511C9" w:rsidRPr="00025BA2">
        <w:rPr>
          <w:rFonts w:ascii="Trebuchet MS" w:hAnsi="Trebuchet MS" w:cs="Calibri"/>
          <w:sz w:val="23"/>
          <w:szCs w:val="23"/>
        </w:rPr>
        <w:t xml:space="preserve"> practices</w:t>
      </w:r>
      <w:r w:rsidR="00EC12F4" w:rsidRPr="00025BA2">
        <w:rPr>
          <w:rFonts w:ascii="Trebuchet MS" w:hAnsi="Trebuchet MS" w:cs="Calibri"/>
          <w:sz w:val="23"/>
          <w:szCs w:val="23"/>
        </w:rPr>
        <w:t>. VALRC provided a stipend for year</w:t>
      </w:r>
      <w:r w:rsidR="007F2AAC" w:rsidRPr="00025BA2">
        <w:rPr>
          <w:rFonts w:ascii="Trebuchet MS" w:hAnsi="Trebuchet MS" w:cs="Calibri"/>
          <w:sz w:val="23"/>
          <w:szCs w:val="23"/>
        </w:rPr>
        <w:t>-</w:t>
      </w:r>
      <w:r w:rsidR="00EC12F4" w:rsidRPr="00025BA2">
        <w:rPr>
          <w:rFonts w:ascii="Trebuchet MS" w:hAnsi="Trebuchet MS" w:cs="Calibri"/>
          <w:sz w:val="23"/>
          <w:szCs w:val="23"/>
        </w:rPr>
        <w:t>two support</w:t>
      </w:r>
      <w:r w:rsidR="00F511C9" w:rsidRPr="00025BA2">
        <w:rPr>
          <w:rFonts w:ascii="Trebuchet MS" w:hAnsi="Trebuchet MS" w:cs="Calibri"/>
          <w:sz w:val="23"/>
          <w:szCs w:val="23"/>
        </w:rPr>
        <w:t xml:space="preserve">, </w:t>
      </w:r>
      <w:r w:rsidR="00676494" w:rsidRPr="00025BA2">
        <w:rPr>
          <w:rFonts w:ascii="Trebuchet MS" w:hAnsi="Trebuchet MS" w:cs="Calibri"/>
          <w:sz w:val="23"/>
          <w:szCs w:val="23"/>
        </w:rPr>
        <w:t xml:space="preserve">an online </w:t>
      </w:r>
      <w:r w:rsidR="00F511C9" w:rsidRPr="00025BA2">
        <w:rPr>
          <w:rFonts w:ascii="Trebuchet MS" w:hAnsi="Trebuchet MS" w:cs="Calibri"/>
          <w:sz w:val="23"/>
          <w:szCs w:val="23"/>
        </w:rPr>
        <w:t>community of practice, and technical assistance for implementation and expansion for</w:t>
      </w:r>
      <w:r w:rsidR="00EC12F4" w:rsidRPr="00025BA2">
        <w:rPr>
          <w:rFonts w:ascii="Trebuchet MS" w:hAnsi="Trebuchet MS" w:cs="Calibri"/>
          <w:sz w:val="23"/>
          <w:szCs w:val="23"/>
        </w:rPr>
        <w:t xml:space="preserve"> TS</w:t>
      </w:r>
      <w:r w:rsidR="00A177B7" w:rsidRPr="00025BA2">
        <w:rPr>
          <w:rFonts w:ascii="Trebuchet MS" w:hAnsi="Trebuchet MS" w:cs="Calibri"/>
          <w:sz w:val="23"/>
          <w:szCs w:val="23"/>
        </w:rPr>
        <w:t>T</w:t>
      </w:r>
      <w:r w:rsidR="00EC12F4" w:rsidRPr="00025BA2">
        <w:rPr>
          <w:rFonts w:ascii="Trebuchet MS" w:hAnsi="Trebuchet MS" w:cs="Calibri"/>
          <w:sz w:val="23"/>
          <w:szCs w:val="23"/>
        </w:rPr>
        <w:t xml:space="preserve">M teachers. Their work included coaching, facilitating </w:t>
      </w:r>
      <w:r w:rsidR="007F2AAC" w:rsidRPr="00025BA2">
        <w:rPr>
          <w:rFonts w:ascii="Trebuchet MS" w:hAnsi="Trebuchet MS" w:cs="Calibri"/>
          <w:sz w:val="23"/>
          <w:szCs w:val="23"/>
        </w:rPr>
        <w:t>one-to-one</w:t>
      </w:r>
      <w:r w:rsidR="00EC12F4" w:rsidRPr="00025BA2">
        <w:rPr>
          <w:rFonts w:ascii="Trebuchet MS" w:hAnsi="Trebuchet MS" w:cs="Calibri"/>
          <w:sz w:val="23"/>
          <w:szCs w:val="23"/>
        </w:rPr>
        <w:t xml:space="preserve"> work with teachers in various areas of the Commonwealth</w:t>
      </w:r>
      <w:r w:rsidR="00F511C9" w:rsidRPr="00025BA2">
        <w:rPr>
          <w:rFonts w:ascii="Trebuchet MS" w:hAnsi="Trebuchet MS" w:cs="Calibri"/>
          <w:sz w:val="23"/>
          <w:szCs w:val="23"/>
        </w:rPr>
        <w:t xml:space="preserve">, </w:t>
      </w:r>
      <w:r w:rsidR="007F2AAC" w:rsidRPr="00025BA2">
        <w:rPr>
          <w:rFonts w:ascii="Trebuchet MS" w:hAnsi="Trebuchet MS" w:cs="Calibri"/>
          <w:sz w:val="23"/>
          <w:szCs w:val="23"/>
        </w:rPr>
        <w:t xml:space="preserve">observing </w:t>
      </w:r>
      <w:r w:rsidR="00F511C9" w:rsidRPr="00025BA2">
        <w:rPr>
          <w:rFonts w:ascii="Trebuchet MS" w:hAnsi="Trebuchet MS" w:cs="Calibri"/>
          <w:sz w:val="23"/>
          <w:szCs w:val="23"/>
        </w:rPr>
        <w:t xml:space="preserve">teacher </w:t>
      </w:r>
      <w:r w:rsidR="007F2AAC" w:rsidRPr="00025BA2">
        <w:rPr>
          <w:rFonts w:ascii="Trebuchet MS" w:hAnsi="Trebuchet MS" w:cs="Calibri"/>
          <w:sz w:val="23"/>
          <w:szCs w:val="23"/>
        </w:rPr>
        <w:t xml:space="preserve">instructional practices </w:t>
      </w:r>
      <w:r w:rsidR="00F511C9" w:rsidRPr="00025BA2">
        <w:rPr>
          <w:rFonts w:ascii="Trebuchet MS" w:hAnsi="Trebuchet MS" w:cs="Calibri"/>
          <w:sz w:val="23"/>
          <w:szCs w:val="23"/>
        </w:rPr>
        <w:t xml:space="preserve">and </w:t>
      </w:r>
      <w:r w:rsidR="007F2AAC" w:rsidRPr="00025BA2">
        <w:rPr>
          <w:rFonts w:ascii="Trebuchet MS" w:hAnsi="Trebuchet MS" w:cs="Calibri"/>
          <w:sz w:val="23"/>
          <w:szCs w:val="23"/>
        </w:rPr>
        <w:t xml:space="preserve">providing </w:t>
      </w:r>
      <w:r w:rsidR="00F511C9" w:rsidRPr="00025BA2">
        <w:rPr>
          <w:rFonts w:ascii="Trebuchet MS" w:hAnsi="Trebuchet MS" w:cs="Calibri"/>
          <w:sz w:val="23"/>
          <w:szCs w:val="23"/>
        </w:rPr>
        <w:t>feedback,</w:t>
      </w:r>
      <w:r w:rsidR="00EC12F4" w:rsidRPr="00025BA2">
        <w:rPr>
          <w:rFonts w:ascii="Trebuchet MS" w:hAnsi="Trebuchet MS" w:cs="Calibri"/>
          <w:sz w:val="23"/>
          <w:szCs w:val="23"/>
        </w:rPr>
        <w:t xml:space="preserve"> </w:t>
      </w:r>
      <w:r w:rsidR="00F511C9" w:rsidRPr="00025BA2">
        <w:rPr>
          <w:rFonts w:ascii="Trebuchet MS" w:hAnsi="Trebuchet MS" w:cs="Calibri"/>
          <w:sz w:val="23"/>
          <w:szCs w:val="23"/>
        </w:rPr>
        <w:t xml:space="preserve">and </w:t>
      </w:r>
      <w:r w:rsidR="00EC12F4" w:rsidRPr="00025BA2">
        <w:rPr>
          <w:rFonts w:ascii="Trebuchet MS" w:hAnsi="Trebuchet MS" w:cs="Calibri"/>
          <w:sz w:val="23"/>
          <w:szCs w:val="23"/>
        </w:rPr>
        <w:t xml:space="preserve">conducting webinars for the AE&amp;L Remix and </w:t>
      </w:r>
      <w:r w:rsidR="00F511C9" w:rsidRPr="00025BA2">
        <w:rPr>
          <w:rFonts w:ascii="Trebuchet MS" w:hAnsi="Trebuchet MS" w:cs="Calibri"/>
          <w:sz w:val="23"/>
          <w:szCs w:val="23"/>
        </w:rPr>
        <w:t xml:space="preserve">a Virginia </w:t>
      </w:r>
      <w:r w:rsidR="008F7860" w:rsidRPr="00025BA2">
        <w:rPr>
          <w:rFonts w:ascii="Trebuchet MS" w:hAnsi="Trebuchet MS" w:cs="Calibri"/>
          <w:sz w:val="23"/>
          <w:szCs w:val="23"/>
        </w:rPr>
        <w:t>Association</w:t>
      </w:r>
      <w:r w:rsidR="00F511C9" w:rsidRPr="00025BA2">
        <w:rPr>
          <w:rFonts w:ascii="Trebuchet MS" w:hAnsi="Trebuchet MS" w:cs="Calibri"/>
          <w:sz w:val="23"/>
          <w:szCs w:val="23"/>
        </w:rPr>
        <w:t xml:space="preserve"> Adult &amp; </w:t>
      </w:r>
      <w:r w:rsidR="00EA1711" w:rsidRPr="00025BA2">
        <w:rPr>
          <w:rFonts w:ascii="Trebuchet MS" w:hAnsi="Trebuchet MS" w:cs="Calibri"/>
          <w:sz w:val="23"/>
          <w:szCs w:val="23"/>
        </w:rPr>
        <w:t xml:space="preserve">Continuing </w:t>
      </w:r>
      <w:r w:rsidR="00F511C9" w:rsidRPr="00025BA2">
        <w:rPr>
          <w:rFonts w:ascii="Trebuchet MS" w:hAnsi="Trebuchet MS" w:cs="Calibri"/>
          <w:sz w:val="23"/>
          <w:szCs w:val="23"/>
        </w:rPr>
        <w:t>Education (VAACE) conference presentation. Their work culminated in a showcase where participant</w:t>
      </w:r>
      <w:r w:rsidR="007F2AAC" w:rsidRPr="00025BA2">
        <w:rPr>
          <w:rFonts w:ascii="Trebuchet MS" w:hAnsi="Trebuchet MS" w:cs="Calibri"/>
          <w:sz w:val="23"/>
          <w:szCs w:val="23"/>
        </w:rPr>
        <w:t>s</w:t>
      </w:r>
      <w:r w:rsidR="00F511C9" w:rsidRPr="00025BA2">
        <w:rPr>
          <w:rFonts w:ascii="Trebuchet MS" w:hAnsi="Trebuchet MS" w:cs="Calibri"/>
          <w:sz w:val="23"/>
          <w:szCs w:val="23"/>
        </w:rPr>
        <w:t xml:space="preserve"> shared their </w:t>
      </w:r>
      <w:r w:rsidR="007F2AAC" w:rsidRPr="00025BA2">
        <w:rPr>
          <w:rFonts w:ascii="Trebuchet MS" w:hAnsi="Trebuchet MS" w:cs="Calibri"/>
          <w:sz w:val="23"/>
          <w:szCs w:val="23"/>
        </w:rPr>
        <w:t xml:space="preserve">TSTM </w:t>
      </w:r>
      <w:r w:rsidR="00B0732F" w:rsidRPr="00025BA2">
        <w:rPr>
          <w:rFonts w:ascii="Trebuchet MS" w:hAnsi="Trebuchet MS" w:cs="Calibri"/>
          <w:sz w:val="23"/>
          <w:szCs w:val="23"/>
        </w:rPr>
        <w:t>projects and discussed results and further implementation</w:t>
      </w:r>
      <w:r w:rsidR="00516676" w:rsidRPr="00025BA2">
        <w:rPr>
          <w:rFonts w:ascii="Trebuchet MS" w:hAnsi="Trebuchet MS" w:cs="Calibri"/>
          <w:sz w:val="23"/>
          <w:szCs w:val="23"/>
        </w:rPr>
        <w:t xml:space="preserve"> strategies for Virginia</w:t>
      </w:r>
      <w:r w:rsidR="00B0732F" w:rsidRPr="00025BA2">
        <w:rPr>
          <w:rFonts w:ascii="Trebuchet MS" w:hAnsi="Trebuchet MS" w:cs="Calibri"/>
          <w:sz w:val="23"/>
          <w:szCs w:val="23"/>
        </w:rPr>
        <w:t>.</w:t>
      </w:r>
    </w:p>
    <w:p w14:paraId="7FFB4127" w14:textId="77777777" w:rsidR="00070596" w:rsidRPr="00025BA2" w:rsidRDefault="00070596" w:rsidP="00070596">
      <w:pPr>
        <w:pStyle w:val="Heading2"/>
        <w:spacing w:before="120" w:after="120"/>
        <w:rPr>
          <w:rFonts w:ascii="Trebuchet MS" w:hAnsi="Trebuchet MS"/>
          <w:color w:val="259591"/>
          <w:sz w:val="28"/>
        </w:rPr>
      </w:pPr>
      <w:r w:rsidRPr="00025BA2">
        <w:rPr>
          <w:rFonts w:ascii="Trebuchet MS" w:hAnsi="Trebuchet MS"/>
          <w:color w:val="259591"/>
          <w:sz w:val="28"/>
        </w:rPr>
        <w:lastRenderedPageBreak/>
        <w:t xml:space="preserve">Programs for Corrections Education and Education of Other Institutionalized Individuals </w:t>
      </w:r>
    </w:p>
    <w:p w14:paraId="64FF82DB" w14:textId="77777777" w:rsidR="00070596" w:rsidRPr="00025BA2" w:rsidRDefault="00070596" w:rsidP="00070596">
      <w:pPr>
        <w:pStyle w:val="NormalWeb"/>
        <w:spacing w:before="0" w:after="0"/>
        <w:textAlignment w:val="baseline"/>
        <w:rPr>
          <w:rFonts w:ascii="Trebuchet MS" w:hAnsi="Trebuchet MS" w:cs="Calibri"/>
          <w:spacing w:val="2"/>
          <w:sz w:val="23"/>
          <w:szCs w:val="23"/>
        </w:rPr>
      </w:pPr>
      <w:r w:rsidRPr="00025BA2">
        <w:rPr>
          <w:rFonts w:ascii="Trebuchet MS" w:hAnsi="Trebuchet MS" w:cs="Calibri"/>
          <w:sz w:val="23"/>
          <w:szCs w:val="23"/>
        </w:rPr>
        <w:t>During PY2020-2021, there was no methodology in place for matching the recidivism rate for criminal offenders or released individuals served in programs supported with Section 225 funds. However, the Virginia Department of Corrections (VADOC) has published state definitions and formulas for setting the state rate of recidivism of re-arrest, re-conviction, and re-incarceration at intervals of 6, 12, 18, 24, and 36 months. On May 26, 2021,</w:t>
      </w:r>
      <w:r w:rsidRPr="00025BA2">
        <w:rPr>
          <w:rFonts w:ascii="Trebuchet MS" w:hAnsi="Trebuchet MS" w:cs="Calibri"/>
          <w:b/>
          <w:bCs/>
          <w:spacing w:val="2"/>
          <w:sz w:val="23"/>
          <w:szCs w:val="23"/>
          <w:bdr w:val="none" w:sz="0" w:space="0" w:color="auto" w:frame="1"/>
        </w:rPr>
        <w:t xml:space="preserve"> </w:t>
      </w:r>
      <w:r w:rsidRPr="00025BA2">
        <w:rPr>
          <w:rFonts w:ascii="Trebuchet MS" w:hAnsi="Trebuchet MS" w:cs="Calibri"/>
          <w:spacing w:val="2"/>
          <w:sz w:val="23"/>
          <w:szCs w:val="23"/>
        </w:rPr>
        <w:t>Governor Ralph Northam announced that Virginia continues to have one of the lowest recidivism rates in the country at 23.9 percent. This is the fifth year in a row that the Commonwealth has had the lowest or second lowest recidivism rate in the nation. Recidivism refers to an individual committing a new offense within a specified follow-up period that results in a new sentence.</w:t>
      </w:r>
    </w:p>
    <w:p w14:paraId="394BF7FB" w14:textId="77777777" w:rsidR="00070596" w:rsidRPr="00025BA2" w:rsidRDefault="00070596" w:rsidP="00070596">
      <w:pPr>
        <w:pStyle w:val="NormalWeb"/>
        <w:textAlignment w:val="baseline"/>
        <w:rPr>
          <w:rFonts w:ascii="Trebuchet MS" w:hAnsi="Trebuchet MS" w:cs="Calibri"/>
          <w:spacing w:val="2"/>
          <w:sz w:val="23"/>
          <w:szCs w:val="23"/>
        </w:rPr>
      </w:pPr>
      <w:r w:rsidRPr="00025BA2">
        <w:rPr>
          <w:rFonts w:ascii="Trebuchet MS" w:hAnsi="Trebuchet MS" w:cs="Calibri"/>
          <w:spacing w:val="2"/>
          <w:sz w:val="23"/>
          <w:szCs w:val="23"/>
        </w:rPr>
        <w:t>Virginia’s recidivism rate was the second lowest of the 42 states that report re-incarceration of state responsible inmates within three years of their release. “Virginia’s recidivism rate has remained low because of the hard work of both correctional staff and inmates,” said Virginia Department of Corrections Director Harold Clarke. “Especially important is the evidence-based programming offered to inmates, probationers, and parolees, from cognitive skills programming to academic and vocational education to substance abuse treatment, and the best practices followed in our facilities and district offices.”</w:t>
      </w:r>
    </w:p>
    <w:p w14:paraId="32752BA8" w14:textId="048F6E23" w:rsidR="00070596" w:rsidRPr="00025BA2" w:rsidRDefault="00070596" w:rsidP="00070596">
      <w:pPr>
        <w:spacing w:before="120" w:after="120"/>
        <w:rPr>
          <w:rFonts w:ascii="Trebuchet MS" w:hAnsi="Trebuchet MS" w:cs="Calibri"/>
          <w:sz w:val="23"/>
          <w:szCs w:val="23"/>
        </w:rPr>
      </w:pPr>
      <w:r w:rsidRPr="00025BA2">
        <w:rPr>
          <w:rFonts w:ascii="Trebuchet MS" w:hAnsi="Trebuchet MS" w:cs="Calibri"/>
          <w:sz w:val="23"/>
          <w:szCs w:val="23"/>
        </w:rPr>
        <w:t xml:space="preserve">In PY2020-2021, the state also analyzed the </w:t>
      </w:r>
      <w:hyperlink r:id="rId28" w:history="1">
        <w:r w:rsidRPr="00025BA2">
          <w:rPr>
            <w:rStyle w:val="Hyperlink"/>
            <w:rFonts w:ascii="Trebuchet MS" w:hAnsi="Trebuchet MS" w:cs="Calibri"/>
            <w:sz w:val="23"/>
            <w:szCs w:val="23"/>
          </w:rPr>
          <w:t>recidivism rate</w:t>
        </w:r>
      </w:hyperlink>
      <w:r w:rsidRPr="00025BA2">
        <w:rPr>
          <w:rFonts w:ascii="Trebuchet MS" w:hAnsi="Trebuchet MS" w:cs="Calibri"/>
          <w:sz w:val="23"/>
          <w:szCs w:val="23"/>
        </w:rPr>
        <w:t xml:space="preserve"> for “state responsible (SR) offenders” who served their entire sentences in local jails, a setting that is more likely to have had educational services funded through the adult education program than through the VADOC. Inmates who spent their entire SR term in jail had higher re‐incarceration and re‐arrest rates (26.9% and 58.9%, respectively) than those who spent at least part of their SR incarceration in a DOC facility (21.0% and 49.7%, respectively). The VADOC analysis shows that an increase in technical violations among the re-entry population in Virginia is correlated with the opioid crisis that continues in the Commonwealth. Additionally, the VADOC found that re-incarceration rates were higher for those with mental health impairments, particularly those who served their sentence in local jails where the provision of mental health services while incarcerated was less consistently available. Furthermore, the VADOC posits that the greater intensity of re-entry services and educational and occupational programming available for offenders in VADOC facilities but not always available in local and regional jails contributes to a lower re-incarceration rate for those who served their sentence</w:t>
      </w:r>
      <w:r w:rsidR="00AD2A45">
        <w:rPr>
          <w:rFonts w:ascii="Trebuchet MS" w:hAnsi="Trebuchet MS" w:cs="Calibri"/>
          <w:sz w:val="23"/>
          <w:szCs w:val="23"/>
        </w:rPr>
        <w:t xml:space="preserve"> or a part of their sentence</w:t>
      </w:r>
      <w:r w:rsidRPr="00025BA2">
        <w:rPr>
          <w:rFonts w:ascii="Trebuchet MS" w:hAnsi="Trebuchet MS" w:cs="Calibri"/>
          <w:sz w:val="23"/>
          <w:szCs w:val="23"/>
        </w:rPr>
        <w:t xml:space="preserve"> in DOC facilities. </w:t>
      </w:r>
    </w:p>
    <w:p w14:paraId="54188CD8" w14:textId="518D5653" w:rsidR="00070596" w:rsidRPr="00025BA2" w:rsidRDefault="00070596" w:rsidP="00070596">
      <w:pPr>
        <w:spacing w:before="120" w:after="120"/>
        <w:rPr>
          <w:rFonts w:ascii="Trebuchet MS" w:hAnsi="Trebuchet MS" w:cs="Calibri"/>
          <w:sz w:val="23"/>
          <w:szCs w:val="23"/>
        </w:rPr>
      </w:pPr>
      <w:r w:rsidRPr="00025BA2">
        <w:rPr>
          <w:rFonts w:ascii="Trebuchet MS" w:hAnsi="Trebuchet MS" w:cs="Calibri"/>
          <w:sz w:val="23"/>
          <w:szCs w:val="23"/>
        </w:rPr>
        <w:t xml:space="preserve">Although </w:t>
      </w:r>
      <w:r w:rsidR="00867A0B">
        <w:rPr>
          <w:rFonts w:ascii="Trebuchet MS" w:hAnsi="Trebuchet MS" w:cs="Calibri"/>
          <w:sz w:val="23"/>
          <w:szCs w:val="23"/>
        </w:rPr>
        <w:t>correctional</w:t>
      </w:r>
      <w:r w:rsidR="0069236F">
        <w:rPr>
          <w:rFonts w:ascii="Trebuchet MS" w:hAnsi="Trebuchet MS" w:cs="Calibri"/>
          <w:sz w:val="23"/>
          <w:szCs w:val="23"/>
        </w:rPr>
        <w:t xml:space="preserve"> </w:t>
      </w:r>
      <w:r w:rsidR="00537F27" w:rsidRPr="00025BA2">
        <w:rPr>
          <w:rFonts w:ascii="Trebuchet MS" w:hAnsi="Trebuchet MS" w:cs="Calibri"/>
          <w:sz w:val="23"/>
          <w:szCs w:val="23"/>
        </w:rPr>
        <w:t xml:space="preserve">education </w:t>
      </w:r>
      <w:r w:rsidRPr="00025BA2">
        <w:rPr>
          <w:rFonts w:ascii="Trebuchet MS" w:hAnsi="Trebuchet MS" w:cs="Calibri"/>
          <w:sz w:val="23"/>
          <w:szCs w:val="23"/>
        </w:rPr>
        <w:t>services were extremely limited in PY2020-2021</w:t>
      </w:r>
      <w:r w:rsidR="005B47C4">
        <w:rPr>
          <w:rFonts w:ascii="Trebuchet MS" w:hAnsi="Trebuchet MS" w:cs="Calibri"/>
          <w:sz w:val="23"/>
          <w:szCs w:val="23"/>
        </w:rPr>
        <w:t>,</w:t>
      </w:r>
      <w:r w:rsidRPr="00025BA2">
        <w:rPr>
          <w:rFonts w:ascii="Trebuchet MS" w:hAnsi="Trebuchet MS" w:cs="Calibri"/>
          <w:sz w:val="23"/>
          <w:szCs w:val="23"/>
        </w:rPr>
        <w:t xml:space="preserve"> some regional programs were able to offer educational services in local and regional jails, community institutions, and community re-entry programs, including through distance education materials. A few IET programs in PY2020-2021 were offered in correctional facilities in the occupational clusters of customer service and hospitality; credentials earned included </w:t>
      </w:r>
      <w:proofErr w:type="spellStart"/>
      <w:r w:rsidR="003B0A0B" w:rsidRPr="00025BA2">
        <w:rPr>
          <w:rFonts w:ascii="Trebuchet MS" w:hAnsi="Trebuchet MS" w:cs="Calibri"/>
          <w:sz w:val="23"/>
          <w:szCs w:val="23"/>
        </w:rPr>
        <w:t>ServSafe</w:t>
      </w:r>
      <w:proofErr w:type="spellEnd"/>
      <w:r w:rsidR="003B0A0B" w:rsidRPr="00025BA2">
        <w:rPr>
          <w:rFonts w:ascii="Trebuchet MS" w:hAnsi="Trebuchet MS" w:cs="Calibri"/>
          <w:sz w:val="23"/>
          <w:szCs w:val="23"/>
        </w:rPr>
        <w:t xml:space="preserve"> Manager</w:t>
      </w:r>
      <w:r w:rsidR="003B0A0B">
        <w:rPr>
          <w:rFonts w:ascii="Trebuchet MS" w:hAnsi="Trebuchet MS" w:cs="Calibri"/>
          <w:sz w:val="23"/>
          <w:szCs w:val="23"/>
        </w:rPr>
        <w:t xml:space="preserve"> </w:t>
      </w:r>
      <w:proofErr w:type="gramStart"/>
      <w:r w:rsidR="003B0A0B">
        <w:rPr>
          <w:rFonts w:ascii="Trebuchet MS" w:hAnsi="Trebuchet MS" w:cs="Calibri"/>
          <w:sz w:val="23"/>
          <w:szCs w:val="23"/>
        </w:rPr>
        <w:t xml:space="preserve">and </w:t>
      </w:r>
      <w:r w:rsidR="003B0A0B" w:rsidRPr="00025BA2">
        <w:rPr>
          <w:rFonts w:ascii="Trebuchet MS" w:hAnsi="Trebuchet MS" w:cs="Calibri"/>
          <w:sz w:val="23"/>
          <w:szCs w:val="23"/>
        </w:rPr>
        <w:t xml:space="preserve"> </w:t>
      </w:r>
      <w:r w:rsidR="00AD2A45">
        <w:rPr>
          <w:rFonts w:ascii="Trebuchet MS" w:hAnsi="Trebuchet MS" w:cs="Calibri"/>
          <w:sz w:val="23"/>
          <w:szCs w:val="23"/>
        </w:rPr>
        <w:t>the</w:t>
      </w:r>
      <w:proofErr w:type="gramEnd"/>
      <w:r w:rsidR="00AD2A45">
        <w:rPr>
          <w:rFonts w:ascii="Trebuchet MS" w:hAnsi="Trebuchet MS" w:cs="Calibri"/>
          <w:sz w:val="23"/>
          <w:szCs w:val="23"/>
        </w:rPr>
        <w:t xml:space="preserve"> </w:t>
      </w:r>
      <w:r w:rsidR="00AD2A45" w:rsidRPr="00AD2A45">
        <w:rPr>
          <w:rFonts w:ascii="Trebuchet MS" w:hAnsi="Trebuchet MS" w:cs="Calibri"/>
          <w:sz w:val="23"/>
          <w:szCs w:val="23"/>
        </w:rPr>
        <w:t>National Retail Federation</w:t>
      </w:r>
      <w:r w:rsidR="00AD2A45">
        <w:rPr>
          <w:rFonts w:ascii="Trebuchet MS" w:hAnsi="Trebuchet MS" w:cs="Calibri"/>
          <w:sz w:val="23"/>
          <w:szCs w:val="23"/>
        </w:rPr>
        <w:t>’</w:t>
      </w:r>
      <w:r w:rsidRPr="00025BA2">
        <w:rPr>
          <w:rFonts w:ascii="Trebuchet MS" w:hAnsi="Trebuchet MS" w:cs="Calibri"/>
          <w:sz w:val="23"/>
          <w:szCs w:val="23"/>
        </w:rPr>
        <w:t xml:space="preserve">s </w:t>
      </w:r>
      <w:r w:rsidR="00AD2A45">
        <w:rPr>
          <w:rFonts w:ascii="Trebuchet MS" w:hAnsi="Trebuchet MS" w:cs="Calibri"/>
          <w:sz w:val="23"/>
          <w:szCs w:val="23"/>
        </w:rPr>
        <w:t xml:space="preserve">(NRF) </w:t>
      </w:r>
      <w:r w:rsidRPr="00025BA2">
        <w:rPr>
          <w:rFonts w:ascii="Trebuchet MS" w:hAnsi="Trebuchet MS" w:cs="Calibri"/>
          <w:sz w:val="23"/>
          <w:szCs w:val="23"/>
        </w:rPr>
        <w:t xml:space="preserve">Retail Industry Fundamentals. In PY2020-2021, these facilities experienced a 79 percent decrease in the number of </w:t>
      </w:r>
      <w:r w:rsidR="00676494" w:rsidRPr="00025BA2">
        <w:rPr>
          <w:rFonts w:ascii="Trebuchet MS" w:hAnsi="Trebuchet MS" w:cs="Calibri"/>
          <w:sz w:val="23"/>
          <w:szCs w:val="23"/>
        </w:rPr>
        <w:t>GED</w:t>
      </w:r>
      <w:r w:rsidR="00676494" w:rsidRPr="00A95D5D">
        <w:rPr>
          <w:rFonts w:ascii="Trebuchet MS" w:hAnsi="Trebuchet MS" w:cs="Calibri"/>
          <w:sz w:val="23"/>
          <w:szCs w:val="23"/>
          <w:vertAlign w:val="superscript"/>
        </w:rPr>
        <w:t>®</w:t>
      </w:r>
      <w:r w:rsidR="00676494" w:rsidRPr="00025BA2">
        <w:rPr>
          <w:rFonts w:ascii="Trebuchet MS" w:hAnsi="Trebuchet MS" w:cs="Calibri"/>
          <w:sz w:val="23"/>
          <w:szCs w:val="23"/>
        </w:rPr>
        <w:t xml:space="preserve"> </w:t>
      </w:r>
      <w:r w:rsidRPr="00025BA2">
        <w:rPr>
          <w:rFonts w:ascii="Trebuchet MS" w:hAnsi="Trebuchet MS" w:cs="Calibri"/>
          <w:sz w:val="23"/>
          <w:szCs w:val="23"/>
        </w:rPr>
        <w:t xml:space="preserve">passers due to a lack of access to academic preparation and testing during the pandemic. In total, 37 individuals earned a secondary credential, and this population maintained a 79 percent pass rate, which is slightly higher than the </w:t>
      </w:r>
      <w:r w:rsidR="005967E9" w:rsidRPr="00025BA2">
        <w:rPr>
          <w:rFonts w:ascii="Trebuchet MS" w:hAnsi="Trebuchet MS" w:cs="Calibri"/>
          <w:sz w:val="23"/>
          <w:szCs w:val="23"/>
        </w:rPr>
        <w:t>GED</w:t>
      </w:r>
      <w:r w:rsidR="005967E9" w:rsidRPr="00A95D5D">
        <w:rPr>
          <w:rFonts w:ascii="Trebuchet MS" w:hAnsi="Trebuchet MS" w:cs="Calibri"/>
          <w:sz w:val="23"/>
          <w:szCs w:val="23"/>
          <w:vertAlign w:val="superscript"/>
        </w:rPr>
        <w:t>®</w:t>
      </w:r>
      <w:r w:rsidRPr="00025BA2">
        <w:rPr>
          <w:rFonts w:ascii="Trebuchet MS" w:hAnsi="Trebuchet MS" w:cs="Calibri"/>
          <w:sz w:val="23"/>
          <w:szCs w:val="23"/>
        </w:rPr>
        <w:t xml:space="preserve"> national pass rate.</w:t>
      </w:r>
    </w:p>
    <w:p w14:paraId="0BDC660A" w14:textId="77777777" w:rsidR="00070596" w:rsidRPr="00025BA2" w:rsidRDefault="00070596">
      <w:pPr>
        <w:spacing w:before="120" w:after="120"/>
        <w:rPr>
          <w:rFonts w:ascii="Trebuchet MS" w:hAnsi="Trebuchet MS"/>
          <w:sz w:val="23"/>
          <w:szCs w:val="23"/>
        </w:rPr>
      </w:pPr>
    </w:p>
    <w:sectPr w:rsidR="00070596" w:rsidRPr="00025BA2" w:rsidSect="004D08C4">
      <w:headerReference w:type="default" r:id="rId29"/>
      <w:footerReference w:type="default" r:id="rId30"/>
      <w:headerReference w:type="first" r:id="rId31"/>
      <w:footerReference w:type="first" r:id="rId32"/>
      <w:pgSz w:w="12240" w:h="15840"/>
      <w:pgMar w:top="1080" w:right="1080" w:bottom="1440" w:left="1080" w:header="54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14F8" w14:textId="77777777" w:rsidR="00B714EC" w:rsidRDefault="00B714EC">
      <w:r>
        <w:separator/>
      </w:r>
    </w:p>
  </w:endnote>
  <w:endnote w:type="continuationSeparator" w:id="0">
    <w:p w14:paraId="5F6D8135" w14:textId="77777777" w:rsidR="00B714EC" w:rsidRDefault="00B7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Avant Garde Std Cn">
    <w:altName w:val="ITC Avant Garde Std Cn"/>
    <w:panose1 w:val="00000000000000000000"/>
    <w:charset w:val="00"/>
    <w:family w:val="swiss"/>
    <w:notTrueType/>
    <w:pitch w:val="default"/>
    <w:sig w:usb0="00000003" w:usb1="00000000" w:usb2="00000000" w:usb3="00000000" w:csb0="00000001" w:csb1="00000000"/>
  </w:font>
  <w:font w:name="ITC Avant Garde Std Bk Cn">
    <w:altName w:val="ITC Avant Garde Std Bk C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040616"/>
      <w:docPartObj>
        <w:docPartGallery w:val="Page Numbers (Bottom of Page)"/>
        <w:docPartUnique/>
      </w:docPartObj>
    </w:sdtPr>
    <w:sdtEndPr>
      <w:rPr>
        <w:rFonts w:ascii="Trebuchet MS" w:hAnsi="Trebuchet MS"/>
        <w:noProof/>
        <w:sz w:val="20"/>
        <w:szCs w:val="20"/>
      </w:rPr>
    </w:sdtEndPr>
    <w:sdtContent>
      <w:p w14:paraId="08822AC7" w14:textId="4EF8B6E1" w:rsidR="0089228B" w:rsidRPr="008C2A56" w:rsidRDefault="0089228B">
        <w:pPr>
          <w:pStyle w:val="Footer"/>
          <w:jc w:val="center"/>
          <w:rPr>
            <w:rFonts w:ascii="Trebuchet MS" w:hAnsi="Trebuchet MS"/>
            <w:sz w:val="20"/>
            <w:szCs w:val="20"/>
          </w:rPr>
        </w:pPr>
        <w:r w:rsidRPr="008C2A56">
          <w:rPr>
            <w:rFonts w:ascii="Trebuchet MS" w:hAnsi="Trebuchet MS"/>
            <w:sz w:val="20"/>
            <w:szCs w:val="20"/>
          </w:rPr>
          <w:fldChar w:fldCharType="begin"/>
        </w:r>
        <w:r w:rsidRPr="008C2A56">
          <w:rPr>
            <w:rFonts w:ascii="Trebuchet MS" w:hAnsi="Trebuchet MS"/>
            <w:sz w:val="20"/>
            <w:szCs w:val="20"/>
          </w:rPr>
          <w:instrText xml:space="preserve"> PAGE   \* MERGEFORMAT </w:instrText>
        </w:r>
        <w:r w:rsidRPr="008C2A56">
          <w:rPr>
            <w:rFonts w:ascii="Trebuchet MS" w:hAnsi="Trebuchet MS"/>
            <w:sz w:val="20"/>
            <w:szCs w:val="20"/>
          </w:rPr>
          <w:fldChar w:fldCharType="separate"/>
        </w:r>
        <w:r w:rsidR="0089325D">
          <w:rPr>
            <w:rFonts w:ascii="Trebuchet MS" w:hAnsi="Trebuchet MS"/>
            <w:noProof/>
            <w:sz w:val="20"/>
            <w:szCs w:val="20"/>
          </w:rPr>
          <w:t>10</w:t>
        </w:r>
        <w:r w:rsidRPr="008C2A56">
          <w:rPr>
            <w:rFonts w:ascii="Trebuchet MS" w:hAnsi="Trebuchet MS"/>
            <w:noProof/>
            <w:sz w:val="20"/>
            <w:szCs w:val="20"/>
          </w:rPr>
          <w:fldChar w:fldCharType="end"/>
        </w:r>
      </w:p>
    </w:sdtContent>
  </w:sdt>
  <w:p w14:paraId="00000055" w14:textId="221D7D3F" w:rsidR="0089228B" w:rsidRDefault="0089228B">
    <w:pPr>
      <w:pBdr>
        <w:top w:val="nil"/>
        <w:left w:val="nil"/>
        <w:bottom w:val="nil"/>
        <w:right w:val="nil"/>
        <w:between w:val="nil"/>
      </w:pBdr>
      <w:tabs>
        <w:tab w:val="center" w:pos="4680"/>
        <w:tab w:val="right" w:pos="936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729966"/>
      <w:docPartObj>
        <w:docPartGallery w:val="Page Numbers (Bottom of Page)"/>
        <w:docPartUnique/>
      </w:docPartObj>
    </w:sdtPr>
    <w:sdtEndPr>
      <w:rPr>
        <w:rFonts w:ascii="Trebuchet MS" w:hAnsi="Trebuchet MS"/>
        <w:noProof/>
        <w:sz w:val="22"/>
      </w:rPr>
    </w:sdtEndPr>
    <w:sdtContent>
      <w:p w14:paraId="142928F2" w14:textId="6AA90933" w:rsidR="0089228B" w:rsidRPr="008C2A56" w:rsidRDefault="0089228B">
        <w:pPr>
          <w:pStyle w:val="Footer"/>
          <w:jc w:val="center"/>
          <w:rPr>
            <w:rFonts w:ascii="Trebuchet MS" w:hAnsi="Trebuchet MS"/>
            <w:sz w:val="22"/>
          </w:rPr>
        </w:pPr>
        <w:r w:rsidRPr="008C2A56">
          <w:rPr>
            <w:rFonts w:ascii="Trebuchet MS" w:hAnsi="Trebuchet MS"/>
            <w:sz w:val="22"/>
          </w:rPr>
          <w:fldChar w:fldCharType="begin"/>
        </w:r>
        <w:r w:rsidRPr="008C2A56">
          <w:rPr>
            <w:rFonts w:ascii="Trebuchet MS" w:hAnsi="Trebuchet MS"/>
            <w:sz w:val="22"/>
          </w:rPr>
          <w:instrText xml:space="preserve"> PAGE   \* MERGEFORMAT </w:instrText>
        </w:r>
        <w:r w:rsidRPr="008C2A56">
          <w:rPr>
            <w:rFonts w:ascii="Trebuchet MS" w:hAnsi="Trebuchet MS"/>
            <w:sz w:val="22"/>
          </w:rPr>
          <w:fldChar w:fldCharType="separate"/>
        </w:r>
        <w:r w:rsidR="0089325D">
          <w:rPr>
            <w:rFonts w:ascii="Trebuchet MS" w:hAnsi="Trebuchet MS"/>
            <w:noProof/>
            <w:sz w:val="22"/>
          </w:rPr>
          <w:t>1</w:t>
        </w:r>
        <w:r w:rsidRPr="008C2A56">
          <w:rPr>
            <w:rFonts w:ascii="Trebuchet MS" w:hAnsi="Trebuchet MS"/>
            <w:noProof/>
            <w:sz w:val="22"/>
          </w:rPr>
          <w:fldChar w:fldCharType="end"/>
        </w:r>
      </w:p>
    </w:sdtContent>
  </w:sdt>
  <w:p w14:paraId="2A54D982" w14:textId="77777777" w:rsidR="0089228B" w:rsidRDefault="0089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989B" w14:textId="77777777" w:rsidR="00B714EC" w:rsidRDefault="00B714EC">
      <w:r>
        <w:separator/>
      </w:r>
    </w:p>
  </w:footnote>
  <w:footnote w:type="continuationSeparator" w:id="0">
    <w:p w14:paraId="047C98D0" w14:textId="77777777" w:rsidR="00B714EC" w:rsidRDefault="00B7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FF4C" w14:textId="7034FA53" w:rsidR="0089228B" w:rsidRPr="00BC64D0" w:rsidRDefault="0089228B" w:rsidP="00BC64D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AF7" w14:textId="3D3320FA" w:rsidR="0089228B" w:rsidRDefault="0089228B" w:rsidP="003F54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C5D"/>
    <w:multiLevelType w:val="multilevel"/>
    <w:tmpl w:val="B358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F27F7"/>
    <w:multiLevelType w:val="hybridMultilevel"/>
    <w:tmpl w:val="9858E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236D4"/>
    <w:multiLevelType w:val="multilevel"/>
    <w:tmpl w:val="43D6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90F7A"/>
    <w:multiLevelType w:val="multilevel"/>
    <w:tmpl w:val="DAC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451A3"/>
    <w:multiLevelType w:val="multilevel"/>
    <w:tmpl w:val="5BFEB2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9F21678"/>
    <w:multiLevelType w:val="multilevel"/>
    <w:tmpl w:val="71A2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F4383"/>
    <w:multiLevelType w:val="multilevel"/>
    <w:tmpl w:val="65B4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83EE7"/>
    <w:multiLevelType w:val="multilevel"/>
    <w:tmpl w:val="E8AE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896973">
    <w:abstractNumId w:val="6"/>
  </w:num>
  <w:num w:numId="2" w16cid:durableId="588807117">
    <w:abstractNumId w:val="4"/>
  </w:num>
  <w:num w:numId="3" w16cid:durableId="520048889">
    <w:abstractNumId w:val="1"/>
  </w:num>
  <w:num w:numId="4" w16cid:durableId="1598247052">
    <w:abstractNumId w:val="0"/>
  </w:num>
  <w:num w:numId="5" w16cid:durableId="198246975">
    <w:abstractNumId w:val="3"/>
  </w:num>
  <w:num w:numId="6" w16cid:durableId="1235817660">
    <w:abstractNumId w:val="7"/>
  </w:num>
  <w:num w:numId="7" w16cid:durableId="1433741172">
    <w:abstractNumId w:val="7"/>
  </w:num>
  <w:num w:numId="8" w16cid:durableId="1967926837">
    <w:abstractNumId w:val="5"/>
  </w:num>
  <w:num w:numId="9" w16cid:durableId="1405879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59"/>
    <w:rsid w:val="0000346C"/>
    <w:rsid w:val="00005C70"/>
    <w:rsid w:val="00006CAD"/>
    <w:rsid w:val="00012C6C"/>
    <w:rsid w:val="00025BA2"/>
    <w:rsid w:val="000310D6"/>
    <w:rsid w:val="00041EE7"/>
    <w:rsid w:val="00045283"/>
    <w:rsid w:val="00050D51"/>
    <w:rsid w:val="00056FC0"/>
    <w:rsid w:val="00067F78"/>
    <w:rsid w:val="000702D3"/>
    <w:rsid w:val="00070596"/>
    <w:rsid w:val="00070D04"/>
    <w:rsid w:val="00077B09"/>
    <w:rsid w:val="0008744F"/>
    <w:rsid w:val="000916FC"/>
    <w:rsid w:val="00092690"/>
    <w:rsid w:val="00093056"/>
    <w:rsid w:val="000960E1"/>
    <w:rsid w:val="000A03DA"/>
    <w:rsid w:val="000A3E10"/>
    <w:rsid w:val="000B3A52"/>
    <w:rsid w:val="000B6491"/>
    <w:rsid w:val="000C1516"/>
    <w:rsid w:val="000C36DA"/>
    <w:rsid w:val="000C4544"/>
    <w:rsid w:val="000C4C2C"/>
    <w:rsid w:val="000D4C6D"/>
    <w:rsid w:val="000E0F84"/>
    <w:rsid w:val="000F2382"/>
    <w:rsid w:val="000F5C5A"/>
    <w:rsid w:val="000F5F25"/>
    <w:rsid w:val="001024AD"/>
    <w:rsid w:val="00104F15"/>
    <w:rsid w:val="0010545B"/>
    <w:rsid w:val="00115F04"/>
    <w:rsid w:val="00122F3D"/>
    <w:rsid w:val="00131473"/>
    <w:rsid w:val="0013588E"/>
    <w:rsid w:val="00136A21"/>
    <w:rsid w:val="00143A60"/>
    <w:rsid w:val="00144709"/>
    <w:rsid w:val="00145218"/>
    <w:rsid w:val="00146511"/>
    <w:rsid w:val="001501F2"/>
    <w:rsid w:val="00156075"/>
    <w:rsid w:val="00163A42"/>
    <w:rsid w:val="001647AE"/>
    <w:rsid w:val="00175A66"/>
    <w:rsid w:val="00184381"/>
    <w:rsid w:val="00190E79"/>
    <w:rsid w:val="00196FB5"/>
    <w:rsid w:val="001B087B"/>
    <w:rsid w:val="001B0F42"/>
    <w:rsid w:val="001B20BD"/>
    <w:rsid w:val="001B3783"/>
    <w:rsid w:val="001B3C8A"/>
    <w:rsid w:val="001C1C59"/>
    <w:rsid w:val="001D3B51"/>
    <w:rsid w:val="001D3C2E"/>
    <w:rsid w:val="001D412A"/>
    <w:rsid w:val="001D5467"/>
    <w:rsid w:val="001F37EB"/>
    <w:rsid w:val="001F648F"/>
    <w:rsid w:val="00205F71"/>
    <w:rsid w:val="002225D4"/>
    <w:rsid w:val="002335BA"/>
    <w:rsid w:val="00240AB8"/>
    <w:rsid w:val="00246FE4"/>
    <w:rsid w:val="00256CE9"/>
    <w:rsid w:val="002627F8"/>
    <w:rsid w:val="0026604D"/>
    <w:rsid w:val="00272289"/>
    <w:rsid w:val="002827F5"/>
    <w:rsid w:val="0028432F"/>
    <w:rsid w:val="002852F7"/>
    <w:rsid w:val="0029282E"/>
    <w:rsid w:val="00292CED"/>
    <w:rsid w:val="002A4BE2"/>
    <w:rsid w:val="002A52FC"/>
    <w:rsid w:val="002A738F"/>
    <w:rsid w:val="002B30D5"/>
    <w:rsid w:val="002B61E5"/>
    <w:rsid w:val="002B6655"/>
    <w:rsid w:val="002D1A1D"/>
    <w:rsid w:val="002D685A"/>
    <w:rsid w:val="002D7860"/>
    <w:rsid w:val="002D7A06"/>
    <w:rsid w:val="002F076C"/>
    <w:rsid w:val="002F2DF4"/>
    <w:rsid w:val="002F65D9"/>
    <w:rsid w:val="0032700B"/>
    <w:rsid w:val="00336782"/>
    <w:rsid w:val="00341D4E"/>
    <w:rsid w:val="00347C66"/>
    <w:rsid w:val="00350F2B"/>
    <w:rsid w:val="00352FA7"/>
    <w:rsid w:val="0035348F"/>
    <w:rsid w:val="003572BF"/>
    <w:rsid w:val="00360B80"/>
    <w:rsid w:val="00364EBF"/>
    <w:rsid w:val="003662FB"/>
    <w:rsid w:val="00372E50"/>
    <w:rsid w:val="003736BC"/>
    <w:rsid w:val="00380085"/>
    <w:rsid w:val="00390C30"/>
    <w:rsid w:val="00392EB6"/>
    <w:rsid w:val="00394E27"/>
    <w:rsid w:val="003967A5"/>
    <w:rsid w:val="003B0A0B"/>
    <w:rsid w:val="003B3151"/>
    <w:rsid w:val="003B3443"/>
    <w:rsid w:val="003B62B9"/>
    <w:rsid w:val="003C005B"/>
    <w:rsid w:val="003C0515"/>
    <w:rsid w:val="003C64B2"/>
    <w:rsid w:val="003E3642"/>
    <w:rsid w:val="003F2A49"/>
    <w:rsid w:val="003F30CD"/>
    <w:rsid w:val="003F540D"/>
    <w:rsid w:val="003F7509"/>
    <w:rsid w:val="00405290"/>
    <w:rsid w:val="00405DA9"/>
    <w:rsid w:val="00411E78"/>
    <w:rsid w:val="004160D9"/>
    <w:rsid w:val="004223AB"/>
    <w:rsid w:val="004228A1"/>
    <w:rsid w:val="00422A88"/>
    <w:rsid w:val="0043288B"/>
    <w:rsid w:val="00441F8E"/>
    <w:rsid w:val="00442D18"/>
    <w:rsid w:val="00447460"/>
    <w:rsid w:val="00450C7C"/>
    <w:rsid w:val="00453776"/>
    <w:rsid w:val="0045581E"/>
    <w:rsid w:val="00456D21"/>
    <w:rsid w:val="00471583"/>
    <w:rsid w:val="004723BF"/>
    <w:rsid w:val="00473796"/>
    <w:rsid w:val="004740C4"/>
    <w:rsid w:val="00481069"/>
    <w:rsid w:val="0048250E"/>
    <w:rsid w:val="004902F9"/>
    <w:rsid w:val="00493A5A"/>
    <w:rsid w:val="00496633"/>
    <w:rsid w:val="004973FA"/>
    <w:rsid w:val="00497E5D"/>
    <w:rsid w:val="004A47D5"/>
    <w:rsid w:val="004B33DA"/>
    <w:rsid w:val="004B4726"/>
    <w:rsid w:val="004B683D"/>
    <w:rsid w:val="004C43E5"/>
    <w:rsid w:val="004C5CC0"/>
    <w:rsid w:val="004D08C4"/>
    <w:rsid w:val="004E04C9"/>
    <w:rsid w:val="004E3922"/>
    <w:rsid w:val="004E46CD"/>
    <w:rsid w:val="004E5F88"/>
    <w:rsid w:val="004F4265"/>
    <w:rsid w:val="00503348"/>
    <w:rsid w:val="005101B9"/>
    <w:rsid w:val="0051094F"/>
    <w:rsid w:val="005115B0"/>
    <w:rsid w:val="0051255C"/>
    <w:rsid w:val="00516676"/>
    <w:rsid w:val="00522AC9"/>
    <w:rsid w:val="00530C65"/>
    <w:rsid w:val="0053663A"/>
    <w:rsid w:val="00537F27"/>
    <w:rsid w:val="0054091B"/>
    <w:rsid w:val="0054398D"/>
    <w:rsid w:val="00546001"/>
    <w:rsid w:val="00556E19"/>
    <w:rsid w:val="00557F9B"/>
    <w:rsid w:val="00563568"/>
    <w:rsid w:val="0056427B"/>
    <w:rsid w:val="005714E6"/>
    <w:rsid w:val="00571CAF"/>
    <w:rsid w:val="005722F6"/>
    <w:rsid w:val="00573803"/>
    <w:rsid w:val="00574CD8"/>
    <w:rsid w:val="00580A03"/>
    <w:rsid w:val="00582F0E"/>
    <w:rsid w:val="00584BE2"/>
    <w:rsid w:val="00590FA5"/>
    <w:rsid w:val="00595001"/>
    <w:rsid w:val="005967E9"/>
    <w:rsid w:val="005A651A"/>
    <w:rsid w:val="005B47C4"/>
    <w:rsid w:val="005B6323"/>
    <w:rsid w:val="005B7611"/>
    <w:rsid w:val="005B7F81"/>
    <w:rsid w:val="005C2C78"/>
    <w:rsid w:val="005D4DB5"/>
    <w:rsid w:val="005D5EDE"/>
    <w:rsid w:val="005D6CEC"/>
    <w:rsid w:val="005E0800"/>
    <w:rsid w:val="005E0CF8"/>
    <w:rsid w:val="005E19B6"/>
    <w:rsid w:val="005E7A66"/>
    <w:rsid w:val="005F1193"/>
    <w:rsid w:val="005F4277"/>
    <w:rsid w:val="005F7006"/>
    <w:rsid w:val="0060050E"/>
    <w:rsid w:val="006157C7"/>
    <w:rsid w:val="00626AFC"/>
    <w:rsid w:val="0064085F"/>
    <w:rsid w:val="00641E1F"/>
    <w:rsid w:val="0064286C"/>
    <w:rsid w:val="00646412"/>
    <w:rsid w:val="00654C26"/>
    <w:rsid w:val="00665B89"/>
    <w:rsid w:val="00676494"/>
    <w:rsid w:val="00677471"/>
    <w:rsid w:val="0069236F"/>
    <w:rsid w:val="00693403"/>
    <w:rsid w:val="00693E2B"/>
    <w:rsid w:val="0069563E"/>
    <w:rsid w:val="006B5AC5"/>
    <w:rsid w:val="006C13B5"/>
    <w:rsid w:val="006D4085"/>
    <w:rsid w:val="006D6322"/>
    <w:rsid w:val="006E7C1D"/>
    <w:rsid w:val="006F08EF"/>
    <w:rsid w:val="006F3C7D"/>
    <w:rsid w:val="006F5FE6"/>
    <w:rsid w:val="0070414F"/>
    <w:rsid w:val="00705067"/>
    <w:rsid w:val="00720411"/>
    <w:rsid w:val="00722F00"/>
    <w:rsid w:val="00730150"/>
    <w:rsid w:val="0073416B"/>
    <w:rsid w:val="0073675E"/>
    <w:rsid w:val="007534FA"/>
    <w:rsid w:val="00766436"/>
    <w:rsid w:val="007676CB"/>
    <w:rsid w:val="00770CF9"/>
    <w:rsid w:val="007720AE"/>
    <w:rsid w:val="00773098"/>
    <w:rsid w:val="00783EA1"/>
    <w:rsid w:val="007862C6"/>
    <w:rsid w:val="0079415A"/>
    <w:rsid w:val="007A2F06"/>
    <w:rsid w:val="007A4DE2"/>
    <w:rsid w:val="007A69A0"/>
    <w:rsid w:val="007A7DB5"/>
    <w:rsid w:val="007C1355"/>
    <w:rsid w:val="007C143C"/>
    <w:rsid w:val="007D0ED6"/>
    <w:rsid w:val="007E082B"/>
    <w:rsid w:val="007E25A3"/>
    <w:rsid w:val="007F09F9"/>
    <w:rsid w:val="007F2AAC"/>
    <w:rsid w:val="00805836"/>
    <w:rsid w:val="00827CEA"/>
    <w:rsid w:val="00850007"/>
    <w:rsid w:val="00854AFB"/>
    <w:rsid w:val="00856DDB"/>
    <w:rsid w:val="008606C4"/>
    <w:rsid w:val="00864759"/>
    <w:rsid w:val="008672BE"/>
    <w:rsid w:val="00867A0B"/>
    <w:rsid w:val="00870BE7"/>
    <w:rsid w:val="00872D9E"/>
    <w:rsid w:val="0087364F"/>
    <w:rsid w:val="008737CE"/>
    <w:rsid w:val="00873ADE"/>
    <w:rsid w:val="0087545E"/>
    <w:rsid w:val="00880EE8"/>
    <w:rsid w:val="00881362"/>
    <w:rsid w:val="00890075"/>
    <w:rsid w:val="0089228B"/>
    <w:rsid w:val="0089325D"/>
    <w:rsid w:val="008975B0"/>
    <w:rsid w:val="008C12BA"/>
    <w:rsid w:val="008C2A56"/>
    <w:rsid w:val="008C2DEA"/>
    <w:rsid w:val="008D41B2"/>
    <w:rsid w:val="008E0A9C"/>
    <w:rsid w:val="008F178A"/>
    <w:rsid w:val="008F1F59"/>
    <w:rsid w:val="008F2A37"/>
    <w:rsid w:val="008F4B52"/>
    <w:rsid w:val="008F632A"/>
    <w:rsid w:val="008F7860"/>
    <w:rsid w:val="00900726"/>
    <w:rsid w:val="00903CBC"/>
    <w:rsid w:val="0090560F"/>
    <w:rsid w:val="009140F3"/>
    <w:rsid w:val="009155C9"/>
    <w:rsid w:val="0092178C"/>
    <w:rsid w:val="00945ABA"/>
    <w:rsid w:val="0095670E"/>
    <w:rsid w:val="0096308D"/>
    <w:rsid w:val="00963A9C"/>
    <w:rsid w:val="00971D3E"/>
    <w:rsid w:val="0097485A"/>
    <w:rsid w:val="00981841"/>
    <w:rsid w:val="0099317E"/>
    <w:rsid w:val="00996FA8"/>
    <w:rsid w:val="009A2ECD"/>
    <w:rsid w:val="009A361E"/>
    <w:rsid w:val="009B11F5"/>
    <w:rsid w:val="009B2CC2"/>
    <w:rsid w:val="009D16EA"/>
    <w:rsid w:val="009D32DD"/>
    <w:rsid w:val="009E2B67"/>
    <w:rsid w:val="009E2C1B"/>
    <w:rsid w:val="009E6040"/>
    <w:rsid w:val="009E72C5"/>
    <w:rsid w:val="009E730D"/>
    <w:rsid w:val="009F19AC"/>
    <w:rsid w:val="009F41EF"/>
    <w:rsid w:val="00A0384E"/>
    <w:rsid w:val="00A038D4"/>
    <w:rsid w:val="00A05B82"/>
    <w:rsid w:val="00A06870"/>
    <w:rsid w:val="00A10FE4"/>
    <w:rsid w:val="00A130D5"/>
    <w:rsid w:val="00A177B7"/>
    <w:rsid w:val="00A241C4"/>
    <w:rsid w:val="00A26924"/>
    <w:rsid w:val="00A330F0"/>
    <w:rsid w:val="00A3448B"/>
    <w:rsid w:val="00A402D4"/>
    <w:rsid w:val="00A42D6A"/>
    <w:rsid w:val="00A511AE"/>
    <w:rsid w:val="00A557DA"/>
    <w:rsid w:val="00A62D78"/>
    <w:rsid w:val="00A66112"/>
    <w:rsid w:val="00A73F63"/>
    <w:rsid w:val="00A95D5D"/>
    <w:rsid w:val="00A96A81"/>
    <w:rsid w:val="00AA2248"/>
    <w:rsid w:val="00AA6F87"/>
    <w:rsid w:val="00AB4B0C"/>
    <w:rsid w:val="00AB65F1"/>
    <w:rsid w:val="00AC0E54"/>
    <w:rsid w:val="00AC14A3"/>
    <w:rsid w:val="00AC2163"/>
    <w:rsid w:val="00AC759F"/>
    <w:rsid w:val="00AD2A45"/>
    <w:rsid w:val="00AD78F5"/>
    <w:rsid w:val="00AE2A38"/>
    <w:rsid w:val="00AE2BA7"/>
    <w:rsid w:val="00AE61CF"/>
    <w:rsid w:val="00AE789C"/>
    <w:rsid w:val="00AF0852"/>
    <w:rsid w:val="00AF2C28"/>
    <w:rsid w:val="00AF5C8A"/>
    <w:rsid w:val="00AF7923"/>
    <w:rsid w:val="00B06CED"/>
    <w:rsid w:val="00B06D56"/>
    <w:rsid w:val="00B071D7"/>
    <w:rsid w:val="00B0732F"/>
    <w:rsid w:val="00B10DF4"/>
    <w:rsid w:val="00B11135"/>
    <w:rsid w:val="00B30110"/>
    <w:rsid w:val="00B328A0"/>
    <w:rsid w:val="00B40120"/>
    <w:rsid w:val="00B42FDA"/>
    <w:rsid w:val="00B43BB8"/>
    <w:rsid w:val="00B56327"/>
    <w:rsid w:val="00B62060"/>
    <w:rsid w:val="00B66ECA"/>
    <w:rsid w:val="00B714EC"/>
    <w:rsid w:val="00B720BB"/>
    <w:rsid w:val="00B759BA"/>
    <w:rsid w:val="00B775BF"/>
    <w:rsid w:val="00B8134D"/>
    <w:rsid w:val="00B82303"/>
    <w:rsid w:val="00B84B32"/>
    <w:rsid w:val="00B901CE"/>
    <w:rsid w:val="00B92D39"/>
    <w:rsid w:val="00B95FF7"/>
    <w:rsid w:val="00BA5C65"/>
    <w:rsid w:val="00BC2028"/>
    <w:rsid w:val="00BC3074"/>
    <w:rsid w:val="00BC402D"/>
    <w:rsid w:val="00BC64D0"/>
    <w:rsid w:val="00BC76AB"/>
    <w:rsid w:val="00BC7A54"/>
    <w:rsid w:val="00BD7C0B"/>
    <w:rsid w:val="00BE1962"/>
    <w:rsid w:val="00BE55D5"/>
    <w:rsid w:val="00C0559A"/>
    <w:rsid w:val="00C05EB6"/>
    <w:rsid w:val="00C06A41"/>
    <w:rsid w:val="00C07493"/>
    <w:rsid w:val="00C1029C"/>
    <w:rsid w:val="00C17B08"/>
    <w:rsid w:val="00C226EE"/>
    <w:rsid w:val="00C32BC4"/>
    <w:rsid w:val="00C36885"/>
    <w:rsid w:val="00C41D40"/>
    <w:rsid w:val="00C5194C"/>
    <w:rsid w:val="00C53271"/>
    <w:rsid w:val="00C557F3"/>
    <w:rsid w:val="00C60506"/>
    <w:rsid w:val="00C66B4A"/>
    <w:rsid w:val="00C67AE4"/>
    <w:rsid w:val="00C743B4"/>
    <w:rsid w:val="00C8603D"/>
    <w:rsid w:val="00C92E76"/>
    <w:rsid w:val="00C93B27"/>
    <w:rsid w:val="00CA3374"/>
    <w:rsid w:val="00CA3EED"/>
    <w:rsid w:val="00CA4B95"/>
    <w:rsid w:val="00CB1352"/>
    <w:rsid w:val="00CB36AF"/>
    <w:rsid w:val="00CC0BD6"/>
    <w:rsid w:val="00CD527D"/>
    <w:rsid w:val="00CD696A"/>
    <w:rsid w:val="00CE4C7D"/>
    <w:rsid w:val="00CE67F8"/>
    <w:rsid w:val="00CE7AB0"/>
    <w:rsid w:val="00CF1C6D"/>
    <w:rsid w:val="00CF5CBA"/>
    <w:rsid w:val="00CF605C"/>
    <w:rsid w:val="00D00553"/>
    <w:rsid w:val="00D01C26"/>
    <w:rsid w:val="00D05808"/>
    <w:rsid w:val="00D11D1C"/>
    <w:rsid w:val="00D34FB9"/>
    <w:rsid w:val="00D35AEE"/>
    <w:rsid w:val="00D37F76"/>
    <w:rsid w:val="00D44F71"/>
    <w:rsid w:val="00D45FBB"/>
    <w:rsid w:val="00D507B2"/>
    <w:rsid w:val="00D50EF0"/>
    <w:rsid w:val="00D52385"/>
    <w:rsid w:val="00D57EC4"/>
    <w:rsid w:val="00D7666A"/>
    <w:rsid w:val="00D777EF"/>
    <w:rsid w:val="00D8550C"/>
    <w:rsid w:val="00D92C49"/>
    <w:rsid w:val="00DA21D9"/>
    <w:rsid w:val="00DB3444"/>
    <w:rsid w:val="00DB634E"/>
    <w:rsid w:val="00DC3AE6"/>
    <w:rsid w:val="00DD6A51"/>
    <w:rsid w:val="00DE2FE6"/>
    <w:rsid w:val="00DF14C5"/>
    <w:rsid w:val="00E022C5"/>
    <w:rsid w:val="00E21399"/>
    <w:rsid w:val="00E30C01"/>
    <w:rsid w:val="00E422DA"/>
    <w:rsid w:val="00E4648E"/>
    <w:rsid w:val="00E537FE"/>
    <w:rsid w:val="00E5463F"/>
    <w:rsid w:val="00E55D64"/>
    <w:rsid w:val="00E64DDD"/>
    <w:rsid w:val="00E70152"/>
    <w:rsid w:val="00E702DB"/>
    <w:rsid w:val="00E773D1"/>
    <w:rsid w:val="00E82206"/>
    <w:rsid w:val="00E85874"/>
    <w:rsid w:val="00E85C54"/>
    <w:rsid w:val="00E920E4"/>
    <w:rsid w:val="00E93480"/>
    <w:rsid w:val="00E93D4E"/>
    <w:rsid w:val="00E946B0"/>
    <w:rsid w:val="00E94D97"/>
    <w:rsid w:val="00EA1711"/>
    <w:rsid w:val="00EA30A0"/>
    <w:rsid w:val="00EB0440"/>
    <w:rsid w:val="00EB30C3"/>
    <w:rsid w:val="00EC12F4"/>
    <w:rsid w:val="00EC4F5C"/>
    <w:rsid w:val="00EC55A5"/>
    <w:rsid w:val="00ED64B3"/>
    <w:rsid w:val="00ED6C49"/>
    <w:rsid w:val="00EE6FC3"/>
    <w:rsid w:val="00EF54F7"/>
    <w:rsid w:val="00F0206F"/>
    <w:rsid w:val="00F13A03"/>
    <w:rsid w:val="00F21585"/>
    <w:rsid w:val="00F32F83"/>
    <w:rsid w:val="00F373D6"/>
    <w:rsid w:val="00F511C9"/>
    <w:rsid w:val="00F563A2"/>
    <w:rsid w:val="00F7165F"/>
    <w:rsid w:val="00F80F19"/>
    <w:rsid w:val="00F86CEA"/>
    <w:rsid w:val="00F87296"/>
    <w:rsid w:val="00F97133"/>
    <w:rsid w:val="00FA0AF3"/>
    <w:rsid w:val="00FA2546"/>
    <w:rsid w:val="00FA7AD6"/>
    <w:rsid w:val="00FB685F"/>
    <w:rsid w:val="00FC0678"/>
    <w:rsid w:val="00FC2CEC"/>
    <w:rsid w:val="00FD1A11"/>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4E72EEE"/>
  <w15:docId w15:val="{D60D7E33-D2A8-4B81-9CC0-17E3F8DF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A03DA"/>
    <w:rPr>
      <w:color w:val="0000FF" w:themeColor="hyperlink"/>
      <w:u w:val="single"/>
    </w:rPr>
  </w:style>
  <w:style w:type="character" w:styleId="FollowedHyperlink">
    <w:name w:val="FollowedHyperlink"/>
    <w:basedOn w:val="DefaultParagraphFont"/>
    <w:uiPriority w:val="99"/>
    <w:semiHidden/>
    <w:unhideWhenUsed/>
    <w:rsid w:val="000A03DA"/>
    <w:rPr>
      <w:color w:val="800080" w:themeColor="followedHyperlink"/>
      <w:u w:val="single"/>
    </w:rPr>
  </w:style>
  <w:style w:type="character" w:styleId="CommentReference">
    <w:name w:val="annotation reference"/>
    <w:basedOn w:val="DefaultParagraphFont"/>
    <w:uiPriority w:val="99"/>
    <w:semiHidden/>
    <w:unhideWhenUsed/>
    <w:rsid w:val="001B20BD"/>
    <w:rPr>
      <w:sz w:val="16"/>
      <w:szCs w:val="16"/>
    </w:rPr>
  </w:style>
  <w:style w:type="paragraph" w:styleId="CommentText">
    <w:name w:val="annotation text"/>
    <w:basedOn w:val="Normal"/>
    <w:link w:val="CommentTextChar"/>
    <w:uiPriority w:val="99"/>
    <w:unhideWhenUsed/>
    <w:rsid w:val="001B20BD"/>
    <w:rPr>
      <w:rFonts w:eastAsiaTheme="minorHAnsi"/>
      <w:sz w:val="20"/>
      <w:szCs w:val="20"/>
    </w:rPr>
  </w:style>
  <w:style w:type="character" w:customStyle="1" w:styleId="CommentTextChar">
    <w:name w:val="Comment Text Char"/>
    <w:basedOn w:val="DefaultParagraphFont"/>
    <w:link w:val="CommentText"/>
    <w:uiPriority w:val="99"/>
    <w:rsid w:val="001B20BD"/>
    <w:rPr>
      <w:rFonts w:eastAsiaTheme="minorHAnsi"/>
      <w:sz w:val="20"/>
      <w:szCs w:val="20"/>
    </w:rPr>
  </w:style>
  <w:style w:type="paragraph" w:styleId="BalloonText">
    <w:name w:val="Balloon Text"/>
    <w:basedOn w:val="Normal"/>
    <w:link w:val="BalloonTextChar"/>
    <w:uiPriority w:val="99"/>
    <w:semiHidden/>
    <w:unhideWhenUsed/>
    <w:rsid w:val="001B2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40C4"/>
    <w:rPr>
      <w:rFonts w:eastAsia="Times New Roman"/>
      <w:b/>
      <w:bCs/>
    </w:rPr>
  </w:style>
  <w:style w:type="character" w:customStyle="1" w:styleId="CommentSubjectChar">
    <w:name w:val="Comment Subject Char"/>
    <w:basedOn w:val="CommentTextChar"/>
    <w:link w:val="CommentSubject"/>
    <w:uiPriority w:val="99"/>
    <w:semiHidden/>
    <w:rsid w:val="004740C4"/>
    <w:rPr>
      <w:rFonts w:eastAsiaTheme="minorHAnsi"/>
      <w:b/>
      <w:bCs/>
      <w:sz w:val="20"/>
      <w:szCs w:val="20"/>
    </w:rPr>
  </w:style>
  <w:style w:type="paragraph" w:styleId="Header">
    <w:name w:val="header"/>
    <w:basedOn w:val="Normal"/>
    <w:link w:val="HeaderChar"/>
    <w:uiPriority w:val="99"/>
    <w:unhideWhenUsed/>
    <w:rsid w:val="00146511"/>
    <w:pPr>
      <w:tabs>
        <w:tab w:val="center" w:pos="4680"/>
        <w:tab w:val="right" w:pos="9360"/>
      </w:tabs>
    </w:pPr>
  </w:style>
  <w:style w:type="character" w:customStyle="1" w:styleId="HeaderChar">
    <w:name w:val="Header Char"/>
    <w:basedOn w:val="DefaultParagraphFont"/>
    <w:link w:val="Header"/>
    <w:uiPriority w:val="99"/>
    <w:rsid w:val="00146511"/>
  </w:style>
  <w:style w:type="paragraph" w:styleId="Footer">
    <w:name w:val="footer"/>
    <w:basedOn w:val="Normal"/>
    <w:link w:val="FooterChar"/>
    <w:uiPriority w:val="99"/>
    <w:unhideWhenUsed/>
    <w:rsid w:val="00146511"/>
    <w:pPr>
      <w:tabs>
        <w:tab w:val="center" w:pos="4680"/>
        <w:tab w:val="right" w:pos="9360"/>
      </w:tabs>
    </w:pPr>
  </w:style>
  <w:style w:type="character" w:customStyle="1" w:styleId="FooterChar">
    <w:name w:val="Footer Char"/>
    <w:basedOn w:val="DefaultParagraphFont"/>
    <w:link w:val="Footer"/>
    <w:uiPriority w:val="99"/>
    <w:rsid w:val="00146511"/>
  </w:style>
  <w:style w:type="paragraph" w:customStyle="1" w:styleId="Default">
    <w:name w:val="Default"/>
    <w:rsid w:val="00BC7A54"/>
    <w:pPr>
      <w:autoSpaceDE w:val="0"/>
      <w:autoSpaceDN w:val="0"/>
      <w:adjustRightInd w:val="0"/>
    </w:pPr>
    <w:rPr>
      <w:rFonts w:ascii="ITC Avant Garde Std Cn" w:hAnsi="ITC Avant Garde Std Cn" w:cs="ITC Avant Garde Std Cn"/>
      <w:color w:val="000000"/>
    </w:rPr>
  </w:style>
  <w:style w:type="character" w:customStyle="1" w:styleId="A7">
    <w:name w:val="A7"/>
    <w:uiPriority w:val="99"/>
    <w:rsid w:val="00BC7A54"/>
    <w:rPr>
      <w:rFonts w:ascii="ITC Avant Garde Std Bk Cn" w:hAnsi="ITC Avant Garde Std Bk Cn" w:cs="ITC Avant Garde Std Bk Cn"/>
      <w:color w:val="000000"/>
      <w:sz w:val="20"/>
      <w:szCs w:val="20"/>
    </w:rPr>
  </w:style>
  <w:style w:type="paragraph" w:styleId="ListParagraph">
    <w:name w:val="List Paragraph"/>
    <w:basedOn w:val="Normal"/>
    <w:uiPriority w:val="72"/>
    <w:qFormat/>
    <w:rsid w:val="007A69A0"/>
    <w:pPr>
      <w:ind w:left="720"/>
      <w:contextualSpacing/>
    </w:pPr>
    <w:rPr>
      <w:szCs w:val="20"/>
    </w:rPr>
  </w:style>
  <w:style w:type="table" w:styleId="TableGrid">
    <w:name w:val="Table Grid"/>
    <w:basedOn w:val="TableNormal"/>
    <w:uiPriority w:val="39"/>
    <w:rsid w:val="004715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3C8A"/>
    <w:rPr>
      <w:color w:val="605E5C"/>
      <w:shd w:val="clear" w:color="auto" w:fill="E1DFDD"/>
    </w:rPr>
  </w:style>
  <w:style w:type="paragraph" w:styleId="NormalWeb">
    <w:name w:val="Normal (Web)"/>
    <w:basedOn w:val="Normal"/>
    <w:uiPriority w:val="99"/>
    <w:semiHidden/>
    <w:unhideWhenUsed/>
    <w:rsid w:val="00163A42"/>
    <w:pPr>
      <w:spacing w:before="100" w:beforeAutospacing="1" w:after="100" w:afterAutospacing="1"/>
    </w:pPr>
  </w:style>
  <w:style w:type="character" w:styleId="Strong">
    <w:name w:val="Strong"/>
    <w:basedOn w:val="DefaultParagraphFont"/>
    <w:uiPriority w:val="22"/>
    <w:qFormat/>
    <w:rsid w:val="00163A42"/>
    <w:rPr>
      <w:b/>
      <w:bCs/>
    </w:rPr>
  </w:style>
  <w:style w:type="paragraph" w:styleId="Revision">
    <w:name w:val="Revision"/>
    <w:hidden/>
    <w:uiPriority w:val="99"/>
    <w:semiHidden/>
    <w:rsid w:val="00EA1711"/>
  </w:style>
  <w:style w:type="character" w:styleId="UnresolvedMention">
    <w:name w:val="Unresolved Mention"/>
    <w:basedOn w:val="DefaultParagraphFont"/>
    <w:uiPriority w:val="99"/>
    <w:semiHidden/>
    <w:unhideWhenUsed/>
    <w:rsid w:val="00050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732">
      <w:bodyDiv w:val="1"/>
      <w:marLeft w:val="0"/>
      <w:marRight w:val="0"/>
      <w:marTop w:val="0"/>
      <w:marBottom w:val="0"/>
      <w:divBdr>
        <w:top w:val="none" w:sz="0" w:space="0" w:color="auto"/>
        <w:left w:val="none" w:sz="0" w:space="0" w:color="auto"/>
        <w:bottom w:val="none" w:sz="0" w:space="0" w:color="auto"/>
        <w:right w:val="none" w:sz="0" w:space="0" w:color="auto"/>
      </w:divBdr>
    </w:div>
    <w:div w:id="164981756">
      <w:bodyDiv w:val="1"/>
      <w:marLeft w:val="0"/>
      <w:marRight w:val="0"/>
      <w:marTop w:val="0"/>
      <w:marBottom w:val="0"/>
      <w:divBdr>
        <w:top w:val="none" w:sz="0" w:space="0" w:color="auto"/>
        <w:left w:val="none" w:sz="0" w:space="0" w:color="auto"/>
        <w:bottom w:val="none" w:sz="0" w:space="0" w:color="auto"/>
        <w:right w:val="none" w:sz="0" w:space="0" w:color="auto"/>
      </w:divBdr>
    </w:div>
    <w:div w:id="374817628">
      <w:bodyDiv w:val="1"/>
      <w:marLeft w:val="0"/>
      <w:marRight w:val="0"/>
      <w:marTop w:val="0"/>
      <w:marBottom w:val="0"/>
      <w:divBdr>
        <w:top w:val="none" w:sz="0" w:space="0" w:color="auto"/>
        <w:left w:val="none" w:sz="0" w:space="0" w:color="auto"/>
        <w:bottom w:val="none" w:sz="0" w:space="0" w:color="auto"/>
        <w:right w:val="none" w:sz="0" w:space="0" w:color="auto"/>
      </w:divBdr>
    </w:div>
    <w:div w:id="751775368">
      <w:bodyDiv w:val="1"/>
      <w:marLeft w:val="0"/>
      <w:marRight w:val="0"/>
      <w:marTop w:val="0"/>
      <w:marBottom w:val="0"/>
      <w:divBdr>
        <w:top w:val="none" w:sz="0" w:space="0" w:color="auto"/>
        <w:left w:val="none" w:sz="0" w:space="0" w:color="auto"/>
        <w:bottom w:val="none" w:sz="0" w:space="0" w:color="auto"/>
        <w:right w:val="none" w:sz="0" w:space="0" w:color="auto"/>
      </w:divBdr>
    </w:div>
    <w:div w:id="959651675">
      <w:bodyDiv w:val="1"/>
      <w:marLeft w:val="0"/>
      <w:marRight w:val="0"/>
      <w:marTop w:val="0"/>
      <w:marBottom w:val="0"/>
      <w:divBdr>
        <w:top w:val="none" w:sz="0" w:space="0" w:color="auto"/>
        <w:left w:val="none" w:sz="0" w:space="0" w:color="auto"/>
        <w:bottom w:val="none" w:sz="0" w:space="0" w:color="auto"/>
        <w:right w:val="none" w:sz="0" w:space="0" w:color="auto"/>
      </w:divBdr>
    </w:div>
    <w:div w:id="972104795">
      <w:bodyDiv w:val="1"/>
      <w:marLeft w:val="0"/>
      <w:marRight w:val="120"/>
      <w:marTop w:val="0"/>
      <w:marBottom w:val="0"/>
      <w:divBdr>
        <w:top w:val="none" w:sz="0" w:space="0" w:color="auto"/>
        <w:left w:val="none" w:sz="0" w:space="0" w:color="auto"/>
        <w:bottom w:val="none" w:sz="0" w:space="0" w:color="auto"/>
        <w:right w:val="none" w:sz="0" w:space="0" w:color="auto"/>
      </w:divBdr>
      <w:divsChild>
        <w:div w:id="1359156931">
          <w:marLeft w:val="0"/>
          <w:marRight w:val="0"/>
          <w:marTop w:val="0"/>
          <w:marBottom w:val="0"/>
          <w:divBdr>
            <w:top w:val="none" w:sz="0" w:space="0" w:color="auto"/>
            <w:left w:val="none" w:sz="0" w:space="0" w:color="auto"/>
            <w:bottom w:val="none" w:sz="0" w:space="0" w:color="auto"/>
            <w:right w:val="none" w:sz="0" w:space="0" w:color="auto"/>
          </w:divBdr>
          <w:divsChild>
            <w:div w:id="1789543808">
              <w:marLeft w:val="0"/>
              <w:marRight w:val="0"/>
              <w:marTop w:val="0"/>
              <w:marBottom w:val="0"/>
              <w:divBdr>
                <w:top w:val="none" w:sz="0" w:space="0" w:color="auto"/>
                <w:left w:val="none" w:sz="0" w:space="0" w:color="auto"/>
                <w:bottom w:val="none" w:sz="0" w:space="0" w:color="auto"/>
                <w:right w:val="none" w:sz="0" w:space="0" w:color="auto"/>
              </w:divBdr>
              <w:divsChild>
                <w:div w:id="228466593">
                  <w:marLeft w:val="0"/>
                  <w:marRight w:val="0"/>
                  <w:marTop w:val="0"/>
                  <w:marBottom w:val="0"/>
                  <w:divBdr>
                    <w:top w:val="none" w:sz="0" w:space="0" w:color="auto"/>
                    <w:left w:val="none" w:sz="0" w:space="0" w:color="auto"/>
                    <w:bottom w:val="none" w:sz="0" w:space="0" w:color="auto"/>
                    <w:right w:val="none" w:sz="0" w:space="0" w:color="auto"/>
                  </w:divBdr>
                  <w:divsChild>
                    <w:div w:id="319967455">
                      <w:marLeft w:val="0"/>
                      <w:marRight w:val="0"/>
                      <w:marTop w:val="0"/>
                      <w:marBottom w:val="0"/>
                      <w:divBdr>
                        <w:top w:val="none" w:sz="0" w:space="0" w:color="auto"/>
                        <w:left w:val="none" w:sz="0" w:space="0" w:color="auto"/>
                        <w:bottom w:val="none" w:sz="0" w:space="0" w:color="auto"/>
                        <w:right w:val="none" w:sz="0" w:space="0" w:color="auto"/>
                      </w:divBdr>
                      <w:divsChild>
                        <w:div w:id="733313163">
                          <w:marLeft w:val="0"/>
                          <w:marRight w:val="0"/>
                          <w:marTop w:val="0"/>
                          <w:marBottom w:val="0"/>
                          <w:divBdr>
                            <w:top w:val="none" w:sz="0" w:space="0" w:color="auto"/>
                            <w:left w:val="none" w:sz="0" w:space="0" w:color="auto"/>
                            <w:bottom w:val="none" w:sz="0" w:space="0" w:color="auto"/>
                            <w:right w:val="none" w:sz="0" w:space="0" w:color="auto"/>
                          </w:divBdr>
                          <w:divsChild>
                            <w:div w:id="1519545423">
                              <w:marLeft w:val="0"/>
                              <w:marRight w:val="0"/>
                              <w:marTop w:val="0"/>
                              <w:marBottom w:val="0"/>
                              <w:divBdr>
                                <w:top w:val="none" w:sz="0" w:space="0" w:color="auto"/>
                                <w:left w:val="none" w:sz="0" w:space="0" w:color="auto"/>
                                <w:bottom w:val="none" w:sz="0" w:space="0" w:color="auto"/>
                                <w:right w:val="none" w:sz="0" w:space="0" w:color="auto"/>
                              </w:divBdr>
                              <w:divsChild>
                                <w:div w:id="111443258">
                                  <w:marLeft w:val="0"/>
                                  <w:marRight w:val="0"/>
                                  <w:marTop w:val="0"/>
                                  <w:marBottom w:val="0"/>
                                  <w:divBdr>
                                    <w:top w:val="none" w:sz="0" w:space="0" w:color="auto"/>
                                    <w:left w:val="none" w:sz="0" w:space="0" w:color="auto"/>
                                    <w:bottom w:val="none" w:sz="0" w:space="0" w:color="auto"/>
                                    <w:right w:val="none" w:sz="0" w:space="0" w:color="auto"/>
                                  </w:divBdr>
                                  <w:divsChild>
                                    <w:div w:id="1667052191">
                                      <w:marLeft w:val="0"/>
                                      <w:marRight w:val="0"/>
                                      <w:marTop w:val="0"/>
                                      <w:marBottom w:val="0"/>
                                      <w:divBdr>
                                        <w:top w:val="none" w:sz="0" w:space="0" w:color="auto"/>
                                        <w:left w:val="none" w:sz="0" w:space="0" w:color="auto"/>
                                        <w:bottom w:val="none" w:sz="0" w:space="0" w:color="auto"/>
                                        <w:right w:val="none" w:sz="0" w:space="0" w:color="auto"/>
                                      </w:divBdr>
                                      <w:divsChild>
                                        <w:div w:id="1633634628">
                                          <w:marLeft w:val="0"/>
                                          <w:marRight w:val="0"/>
                                          <w:marTop w:val="0"/>
                                          <w:marBottom w:val="0"/>
                                          <w:divBdr>
                                            <w:top w:val="none" w:sz="0" w:space="0" w:color="auto"/>
                                            <w:left w:val="none" w:sz="0" w:space="0" w:color="auto"/>
                                            <w:bottom w:val="none" w:sz="0" w:space="0" w:color="auto"/>
                                            <w:right w:val="none" w:sz="0" w:space="0" w:color="auto"/>
                                          </w:divBdr>
                                          <w:divsChild>
                                            <w:div w:id="577328039">
                                              <w:marLeft w:val="0"/>
                                              <w:marRight w:val="0"/>
                                              <w:marTop w:val="0"/>
                                              <w:marBottom w:val="0"/>
                                              <w:divBdr>
                                                <w:top w:val="none" w:sz="0" w:space="0" w:color="auto"/>
                                                <w:left w:val="none" w:sz="0" w:space="0" w:color="auto"/>
                                                <w:bottom w:val="none" w:sz="0" w:space="0" w:color="auto"/>
                                                <w:right w:val="none" w:sz="0" w:space="0" w:color="auto"/>
                                              </w:divBdr>
                                              <w:divsChild>
                                                <w:div w:id="1141965742">
                                                  <w:marLeft w:val="15"/>
                                                  <w:marRight w:val="15"/>
                                                  <w:marTop w:val="15"/>
                                                  <w:marBottom w:val="15"/>
                                                  <w:divBdr>
                                                    <w:top w:val="single" w:sz="6" w:space="2" w:color="4D90FE"/>
                                                    <w:left w:val="single" w:sz="6" w:space="2" w:color="4D90FE"/>
                                                    <w:bottom w:val="single" w:sz="6" w:space="2" w:color="4D90FE"/>
                                                    <w:right w:val="single" w:sz="6" w:space="0" w:color="4D90FE"/>
                                                  </w:divBdr>
                                                  <w:divsChild>
                                                    <w:div w:id="1935284297">
                                                      <w:marLeft w:val="0"/>
                                                      <w:marRight w:val="0"/>
                                                      <w:marTop w:val="0"/>
                                                      <w:marBottom w:val="0"/>
                                                      <w:divBdr>
                                                        <w:top w:val="none" w:sz="0" w:space="0" w:color="auto"/>
                                                        <w:left w:val="none" w:sz="0" w:space="0" w:color="auto"/>
                                                        <w:bottom w:val="none" w:sz="0" w:space="0" w:color="auto"/>
                                                        <w:right w:val="none" w:sz="0" w:space="0" w:color="auto"/>
                                                      </w:divBdr>
                                                      <w:divsChild>
                                                        <w:div w:id="954292410">
                                                          <w:marLeft w:val="0"/>
                                                          <w:marRight w:val="0"/>
                                                          <w:marTop w:val="0"/>
                                                          <w:marBottom w:val="0"/>
                                                          <w:divBdr>
                                                            <w:top w:val="none" w:sz="0" w:space="0" w:color="auto"/>
                                                            <w:left w:val="none" w:sz="0" w:space="0" w:color="auto"/>
                                                            <w:bottom w:val="none" w:sz="0" w:space="0" w:color="auto"/>
                                                            <w:right w:val="none" w:sz="0" w:space="0" w:color="auto"/>
                                                          </w:divBdr>
                                                          <w:divsChild>
                                                            <w:div w:id="439566412">
                                                              <w:marLeft w:val="0"/>
                                                              <w:marRight w:val="0"/>
                                                              <w:marTop w:val="0"/>
                                                              <w:marBottom w:val="0"/>
                                                              <w:divBdr>
                                                                <w:top w:val="none" w:sz="0" w:space="0" w:color="auto"/>
                                                                <w:left w:val="none" w:sz="0" w:space="0" w:color="auto"/>
                                                                <w:bottom w:val="none" w:sz="0" w:space="0" w:color="auto"/>
                                                                <w:right w:val="none" w:sz="0" w:space="0" w:color="auto"/>
                                                              </w:divBdr>
                                                              <w:divsChild>
                                                                <w:div w:id="861016706">
                                                                  <w:marLeft w:val="0"/>
                                                                  <w:marRight w:val="0"/>
                                                                  <w:marTop w:val="0"/>
                                                                  <w:marBottom w:val="0"/>
                                                                  <w:divBdr>
                                                                    <w:top w:val="none" w:sz="0" w:space="0" w:color="auto"/>
                                                                    <w:left w:val="none" w:sz="0" w:space="0" w:color="auto"/>
                                                                    <w:bottom w:val="none" w:sz="0" w:space="0" w:color="auto"/>
                                                                    <w:right w:val="none" w:sz="0" w:space="0" w:color="auto"/>
                                                                  </w:divBdr>
                                                                  <w:divsChild>
                                                                    <w:div w:id="2139102285">
                                                                      <w:marLeft w:val="0"/>
                                                                      <w:marRight w:val="0"/>
                                                                      <w:marTop w:val="0"/>
                                                                      <w:marBottom w:val="0"/>
                                                                      <w:divBdr>
                                                                        <w:top w:val="none" w:sz="0" w:space="0" w:color="auto"/>
                                                                        <w:left w:val="none" w:sz="0" w:space="0" w:color="auto"/>
                                                                        <w:bottom w:val="none" w:sz="0" w:space="0" w:color="auto"/>
                                                                        <w:right w:val="none" w:sz="0" w:space="0" w:color="auto"/>
                                                                      </w:divBdr>
                                                                      <w:divsChild>
                                                                        <w:div w:id="1798796869">
                                                                          <w:marLeft w:val="0"/>
                                                                          <w:marRight w:val="0"/>
                                                                          <w:marTop w:val="0"/>
                                                                          <w:marBottom w:val="0"/>
                                                                          <w:divBdr>
                                                                            <w:top w:val="none" w:sz="0" w:space="0" w:color="auto"/>
                                                                            <w:left w:val="none" w:sz="0" w:space="0" w:color="auto"/>
                                                                            <w:bottom w:val="none" w:sz="0" w:space="0" w:color="auto"/>
                                                                            <w:right w:val="none" w:sz="0" w:space="0" w:color="auto"/>
                                                                          </w:divBdr>
                                                                          <w:divsChild>
                                                                            <w:div w:id="1585648410">
                                                                              <w:marLeft w:val="0"/>
                                                                              <w:marRight w:val="0"/>
                                                                              <w:marTop w:val="0"/>
                                                                              <w:marBottom w:val="0"/>
                                                                              <w:divBdr>
                                                                                <w:top w:val="none" w:sz="0" w:space="0" w:color="auto"/>
                                                                                <w:left w:val="none" w:sz="0" w:space="0" w:color="auto"/>
                                                                                <w:bottom w:val="none" w:sz="0" w:space="0" w:color="auto"/>
                                                                                <w:right w:val="none" w:sz="0" w:space="0" w:color="auto"/>
                                                                              </w:divBdr>
                                                                              <w:divsChild>
                                                                                <w:div w:id="798646985">
                                                                                  <w:marLeft w:val="0"/>
                                                                                  <w:marRight w:val="0"/>
                                                                                  <w:marTop w:val="0"/>
                                                                                  <w:marBottom w:val="0"/>
                                                                                  <w:divBdr>
                                                                                    <w:top w:val="none" w:sz="0" w:space="0" w:color="auto"/>
                                                                                    <w:left w:val="none" w:sz="0" w:space="0" w:color="auto"/>
                                                                                    <w:bottom w:val="none" w:sz="0" w:space="0" w:color="auto"/>
                                                                                    <w:right w:val="none" w:sz="0" w:space="0" w:color="auto"/>
                                                                                  </w:divBdr>
                                                                                  <w:divsChild>
                                                                                    <w:div w:id="796921278">
                                                                                      <w:marLeft w:val="0"/>
                                                                                      <w:marRight w:val="0"/>
                                                                                      <w:marTop w:val="0"/>
                                                                                      <w:marBottom w:val="0"/>
                                                                                      <w:divBdr>
                                                                                        <w:top w:val="none" w:sz="0" w:space="0" w:color="auto"/>
                                                                                        <w:left w:val="none" w:sz="0" w:space="0" w:color="auto"/>
                                                                                        <w:bottom w:val="none" w:sz="0" w:space="0" w:color="auto"/>
                                                                                        <w:right w:val="none" w:sz="0" w:space="0" w:color="auto"/>
                                                                                      </w:divBdr>
                                                                                      <w:divsChild>
                                                                                        <w:div w:id="1558859502">
                                                                                          <w:marLeft w:val="0"/>
                                                                                          <w:marRight w:val="60"/>
                                                                                          <w:marTop w:val="0"/>
                                                                                          <w:marBottom w:val="0"/>
                                                                                          <w:divBdr>
                                                                                            <w:top w:val="none" w:sz="0" w:space="0" w:color="auto"/>
                                                                                            <w:left w:val="none" w:sz="0" w:space="0" w:color="auto"/>
                                                                                            <w:bottom w:val="none" w:sz="0" w:space="0" w:color="auto"/>
                                                                                            <w:right w:val="none" w:sz="0" w:space="0" w:color="auto"/>
                                                                                          </w:divBdr>
                                                                                          <w:divsChild>
                                                                                            <w:div w:id="1293637720">
                                                                                              <w:marLeft w:val="0"/>
                                                                                              <w:marRight w:val="0"/>
                                                                                              <w:marTop w:val="0"/>
                                                                                              <w:marBottom w:val="150"/>
                                                                                              <w:divBdr>
                                                                                                <w:top w:val="single" w:sz="2" w:space="0" w:color="EFEFEF"/>
                                                                                                <w:left w:val="single" w:sz="6" w:space="0" w:color="EFEFEF"/>
                                                                                                <w:bottom w:val="single" w:sz="6" w:space="0" w:color="E2E2E2"/>
                                                                                                <w:right w:val="single" w:sz="6" w:space="0" w:color="EFEFEF"/>
                                                                                              </w:divBdr>
                                                                                              <w:divsChild>
                                                                                                <w:div w:id="343022949">
                                                                                                  <w:marLeft w:val="0"/>
                                                                                                  <w:marRight w:val="0"/>
                                                                                                  <w:marTop w:val="0"/>
                                                                                                  <w:marBottom w:val="0"/>
                                                                                                  <w:divBdr>
                                                                                                    <w:top w:val="none" w:sz="0" w:space="0" w:color="auto"/>
                                                                                                    <w:left w:val="none" w:sz="0" w:space="0" w:color="auto"/>
                                                                                                    <w:bottom w:val="none" w:sz="0" w:space="0" w:color="auto"/>
                                                                                                    <w:right w:val="none" w:sz="0" w:space="0" w:color="auto"/>
                                                                                                  </w:divBdr>
                                                                                                  <w:divsChild>
                                                                                                    <w:div w:id="2069957907">
                                                                                                      <w:marLeft w:val="0"/>
                                                                                                      <w:marRight w:val="0"/>
                                                                                                      <w:marTop w:val="0"/>
                                                                                                      <w:marBottom w:val="0"/>
                                                                                                      <w:divBdr>
                                                                                                        <w:top w:val="none" w:sz="0" w:space="0" w:color="auto"/>
                                                                                                        <w:left w:val="none" w:sz="0" w:space="0" w:color="auto"/>
                                                                                                        <w:bottom w:val="none" w:sz="0" w:space="0" w:color="auto"/>
                                                                                                        <w:right w:val="none" w:sz="0" w:space="0" w:color="auto"/>
                                                                                                      </w:divBdr>
                                                                                                      <w:divsChild>
                                                                                                        <w:div w:id="376510178">
                                                                                                          <w:marLeft w:val="0"/>
                                                                                                          <w:marRight w:val="0"/>
                                                                                                          <w:marTop w:val="0"/>
                                                                                                          <w:marBottom w:val="0"/>
                                                                                                          <w:divBdr>
                                                                                                            <w:top w:val="none" w:sz="0" w:space="0" w:color="auto"/>
                                                                                                            <w:left w:val="none" w:sz="0" w:space="0" w:color="auto"/>
                                                                                                            <w:bottom w:val="none" w:sz="0" w:space="0" w:color="auto"/>
                                                                                                            <w:right w:val="none" w:sz="0" w:space="0" w:color="auto"/>
                                                                                                          </w:divBdr>
                                                                                                          <w:divsChild>
                                                                                                            <w:div w:id="1608924388">
                                                                                                              <w:marLeft w:val="0"/>
                                                                                                              <w:marRight w:val="0"/>
                                                                                                              <w:marTop w:val="0"/>
                                                                                                              <w:marBottom w:val="0"/>
                                                                                                              <w:divBdr>
                                                                                                                <w:top w:val="none" w:sz="0" w:space="0" w:color="auto"/>
                                                                                                                <w:left w:val="none" w:sz="0" w:space="0" w:color="auto"/>
                                                                                                                <w:bottom w:val="none" w:sz="0" w:space="0" w:color="auto"/>
                                                                                                                <w:right w:val="none" w:sz="0" w:space="0" w:color="auto"/>
                                                                                                              </w:divBdr>
                                                                                                              <w:divsChild>
                                                                                                                <w:div w:id="595596615">
                                                                                                                  <w:marLeft w:val="0"/>
                                                                                                                  <w:marRight w:val="0"/>
                                                                                                                  <w:marTop w:val="0"/>
                                                                                                                  <w:marBottom w:val="0"/>
                                                                                                                  <w:divBdr>
                                                                                                                    <w:top w:val="none" w:sz="0" w:space="4" w:color="auto"/>
                                                                                                                    <w:left w:val="none" w:sz="0" w:space="0" w:color="auto"/>
                                                                                                                    <w:bottom w:val="none" w:sz="0" w:space="4" w:color="auto"/>
                                                                                                                    <w:right w:val="none" w:sz="0" w:space="0" w:color="auto"/>
                                                                                                                  </w:divBdr>
                                                                                                                  <w:divsChild>
                                                                                                                    <w:div w:id="1551302824">
                                                                                                                      <w:marLeft w:val="0"/>
                                                                                                                      <w:marRight w:val="0"/>
                                                                                                                      <w:marTop w:val="0"/>
                                                                                                                      <w:marBottom w:val="0"/>
                                                                                                                      <w:divBdr>
                                                                                                                        <w:top w:val="none" w:sz="0" w:space="0" w:color="auto"/>
                                                                                                                        <w:left w:val="none" w:sz="0" w:space="0" w:color="auto"/>
                                                                                                                        <w:bottom w:val="none" w:sz="0" w:space="0" w:color="auto"/>
                                                                                                                        <w:right w:val="none" w:sz="0" w:space="0" w:color="auto"/>
                                                                                                                      </w:divBdr>
                                                                                                                      <w:divsChild>
                                                                                                                        <w:div w:id="893076500">
                                                                                                                          <w:marLeft w:val="225"/>
                                                                                                                          <w:marRight w:val="225"/>
                                                                                                                          <w:marTop w:val="75"/>
                                                                                                                          <w:marBottom w:val="75"/>
                                                                                                                          <w:divBdr>
                                                                                                                            <w:top w:val="none" w:sz="0" w:space="0" w:color="auto"/>
                                                                                                                            <w:left w:val="none" w:sz="0" w:space="0" w:color="auto"/>
                                                                                                                            <w:bottom w:val="none" w:sz="0" w:space="0" w:color="auto"/>
                                                                                                                            <w:right w:val="none" w:sz="0" w:space="0" w:color="auto"/>
                                                                                                                          </w:divBdr>
                                                                                                                          <w:divsChild>
                                                                                                                            <w:div w:id="239562247">
                                                                                                                              <w:marLeft w:val="0"/>
                                                                                                                              <w:marRight w:val="0"/>
                                                                                                                              <w:marTop w:val="0"/>
                                                                                                                              <w:marBottom w:val="0"/>
                                                                                                                              <w:divBdr>
                                                                                                                                <w:top w:val="single" w:sz="6" w:space="0" w:color="auto"/>
                                                                                                                                <w:left w:val="single" w:sz="6" w:space="0" w:color="auto"/>
                                                                                                                                <w:bottom w:val="single" w:sz="6" w:space="0" w:color="auto"/>
                                                                                                                                <w:right w:val="single" w:sz="6" w:space="0" w:color="auto"/>
                                                                                                                              </w:divBdr>
                                                                                                                              <w:divsChild>
                                                                                                                                <w:div w:id="1984238210">
                                                                                                                                  <w:marLeft w:val="0"/>
                                                                                                                                  <w:marRight w:val="0"/>
                                                                                                                                  <w:marTop w:val="0"/>
                                                                                                                                  <w:marBottom w:val="0"/>
                                                                                                                                  <w:divBdr>
                                                                                                                                    <w:top w:val="none" w:sz="0" w:space="0" w:color="auto"/>
                                                                                                                                    <w:left w:val="none" w:sz="0" w:space="0" w:color="auto"/>
                                                                                                                                    <w:bottom w:val="none" w:sz="0" w:space="0" w:color="auto"/>
                                                                                                                                    <w:right w:val="none" w:sz="0" w:space="0" w:color="auto"/>
                                                                                                                                  </w:divBdr>
                                                                                                                                  <w:divsChild>
                                                                                                                                    <w:div w:id="1530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226818">
      <w:bodyDiv w:val="1"/>
      <w:marLeft w:val="0"/>
      <w:marRight w:val="0"/>
      <w:marTop w:val="0"/>
      <w:marBottom w:val="0"/>
      <w:divBdr>
        <w:top w:val="none" w:sz="0" w:space="0" w:color="auto"/>
        <w:left w:val="none" w:sz="0" w:space="0" w:color="auto"/>
        <w:bottom w:val="none" w:sz="0" w:space="0" w:color="auto"/>
        <w:right w:val="none" w:sz="0" w:space="0" w:color="auto"/>
      </w:divBdr>
    </w:div>
    <w:div w:id="1159809643">
      <w:bodyDiv w:val="1"/>
      <w:marLeft w:val="0"/>
      <w:marRight w:val="0"/>
      <w:marTop w:val="0"/>
      <w:marBottom w:val="0"/>
      <w:divBdr>
        <w:top w:val="none" w:sz="0" w:space="0" w:color="auto"/>
        <w:left w:val="none" w:sz="0" w:space="0" w:color="auto"/>
        <w:bottom w:val="none" w:sz="0" w:space="0" w:color="auto"/>
        <w:right w:val="none" w:sz="0" w:space="0" w:color="auto"/>
      </w:divBdr>
    </w:div>
    <w:div w:id="1416828486">
      <w:bodyDiv w:val="1"/>
      <w:marLeft w:val="0"/>
      <w:marRight w:val="0"/>
      <w:marTop w:val="0"/>
      <w:marBottom w:val="0"/>
      <w:divBdr>
        <w:top w:val="none" w:sz="0" w:space="0" w:color="auto"/>
        <w:left w:val="none" w:sz="0" w:space="0" w:color="auto"/>
        <w:bottom w:val="none" w:sz="0" w:space="0" w:color="auto"/>
        <w:right w:val="none" w:sz="0" w:space="0" w:color="auto"/>
      </w:divBdr>
      <w:divsChild>
        <w:div w:id="957763898">
          <w:marLeft w:val="0"/>
          <w:marRight w:val="0"/>
          <w:marTop w:val="0"/>
          <w:marBottom w:val="0"/>
          <w:divBdr>
            <w:top w:val="none" w:sz="0" w:space="0" w:color="auto"/>
            <w:left w:val="none" w:sz="0" w:space="0" w:color="auto"/>
            <w:bottom w:val="none" w:sz="0" w:space="0" w:color="auto"/>
            <w:right w:val="none" w:sz="0" w:space="0" w:color="auto"/>
          </w:divBdr>
        </w:div>
      </w:divsChild>
    </w:div>
    <w:div w:id="1446732035">
      <w:bodyDiv w:val="1"/>
      <w:marLeft w:val="0"/>
      <w:marRight w:val="0"/>
      <w:marTop w:val="0"/>
      <w:marBottom w:val="0"/>
      <w:divBdr>
        <w:top w:val="none" w:sz="0" w:space="0" w:color="auto"/>
        <w:left w:val="none" w:sz="0" w:space="0" w:color="auto"/>
        <w:bottom w:val="none" w:sz="0" w:space="0" w:color="auto"/>
        <w:right w:val="none" w:sz="0" w:space="0" w:color="auto"/>
      </w:divBdr>
    </w:div>
    <w:div w:id="1490250969">
      <w:bodyDiv w:val="1"/>
      <w:marLeft w:val="0"/>
      <w:marRight w:val="0"/>
      <w:marTop w:val="0"/>
      <w:marBottom w:val="0"/>
      <w:divBdr>
        <w:top w:val="none" w:sz="0" w:space="0" w:color="auto"/>
        <w:left w:val="none" w:sz="0" w:space="0" w:color="auto"/>
        <w:bottom w:val="none" w:sz="0" w:space="0" w:color="auto"/>
        <w:right w:val="none" w:sz="0" w:space="0" w:color="auto"/>
      </w:divBdr>
      <w:divsChild>
        <w:div w:id="1797482265">
          <w:marLeft w:val="0"/>
          <w:marRight w:val="0"/>
          <w:marTop w:val="0"/>
          <w:marBottom w:val="0"/>
          <w:divBdr>
            <w:top w:val="none" w:sz="0" w:space="0" w:color="auto"/>
            <w:left w:val="none" w:sz="0" w:space="0" w:color="auto"/>
            <w:bottom w:val="none" w:sz="0" w:space="0" w:color="auto"/>
            <w:right w:val="none" w:sz="0" w:space="0" w:color="auto"/>
          </w:divBdr>
          <w:divsChild>
            <w:div w:id="2015259264">
              <w:marLeft w:val="0"/>
              <w:marRight w:val="0"/>
              <w:marTop w:val="0"/>
              <w:marBottom w:val="0"/>
              <w:divBdr>
                <w:top w:val="none" w:sz="0" w:space="0" w:color="auto"/>
                <w:left w:val="none" w:sz="0" w:space="0" w:color="auto"/>
                <w:bottom w:val="none" w:sz="0" w:space="0" w:color="auto"/>
                <w:right w:val="none" w:sz="0" w:space="0" w:color="auto"/>
              </w:divBdr>
            </w:div>
          </w:divsChild>
        </w:div>
        <w:div w:id="3557303">
          <w:marLeft w:val="0"/>
          <w:marRight w:val="0"/>
          <w:marTop w:val="0"/>
          <w:marBottom w:val="0"/>
          <w:divBdr>
            <w:top w:val="none" w:sz="0" w:space="0" w:color="auto"/>
            <w:left w:val="none" w:sz="0" w:space="0" w:color="auto"/>
            <w:bottom w:val="none" w:sz="0" w:space="0" w:color="auto"/>
            <w:right w:val="none" w:sz="0" w:space="0" w:color="auto"/>
          </w:divBdr>
          <w:divsChild>
            <w:div w:id="2009745006">
              <w:marLeft w:val="0"/>
              <w:marRight w:val="0"/>
              <w:marTop w:val="0"/>
              <w:marBottom w:val="0"/>
              <w:divBdr>
                <w:top w:val="none" w:sz="0" w:space="0" w:color="auto"/>
                <w:left w:val="none" w:sz="0" w:space="0" w:color="auto"/>
                <w:bottom w:val="none" w:sz="0" w:space="0" w:color="auto"/>
                <w:right w:val="none" w:sz="0" w:space="0" w:color="auto"/>
              </w:divBdr>
              <w:divsChild>
                <w:div w:id="1637906230">
                  <w:marLeft w:val="0"/>
                  <w:marRight w:val="0"/>
                  <w:marTop w:val="0"/>
                  <w:marBottom w:val="0"/>
                  <w:divBdr>
                    <w:top w:val="none" w:sz="0" w:space="0" w:color="auto"/>
                    <w:left w:val="none" w:sz="0" w:space="0" w:color="auto"/>
                    <w:bottom w:val="none" w:sz="0" w:space="0" w:color="auto"/>
                    <w:right w:val="none" w:sz="0" w:space="0" w:color="auto"/>
                  </w:divBdr>
                  <w:divsChild>
                    <w:div w:id="1943805856">
                      <w:marLeft w:val="0"/>
                      <w:marRight w:val="0"/>
                      <w:marTop w:val="0"/>
                      <w:marBottom w:val="0"/>
                      <w:divBdr>
                        <w:top w:val="none" w:sz="0" w:space="0" w:color="auto"/>
                        <w:left w:val="none" w:sz="0" w:space="0" w:color="auto"/>
                        <w:bottom w:val="none" w:sz="0" w:space="0" w:color="auto"/>
                        <w:right w:val="none" w:sz="0" w:space="0" w:color="auto"/>
                      </w:divBdr>
                      <w:divsChild>
                        <w:div w:id="933981481">
                          <w:marLeft w:val="0"/>
                          <w:marRight w:val="0"/>
                          <w:marTop w:val="0"/>
                          <w:marBottom w:val="0"/>
                          <w:divBdr>
                            <w:top w:val="none" w:sz="0" w:space="0" w:color="auto"/>
                            <w:left w:val="none" w:sz="0" w:space="0" w:color="auto"/>
                            <w:bottom w:val="none" w:sz="0" w:space="0" w:color="auto"/>
                            <w:right w:val="none" w:sz="0" w:space="0" w:color="auto"/>
                          </w:divBdr>
                          <w:divsChild>
                            <w:div w:id="8225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009763">
      <w:bodyDiv w:val="1"/>
      <w:marLeft w:val="0"/>
      <w:marRight w:val="0"/>
      <w:marTop w:val="0"/>
      <w:marBottom w:val="0"/>
      <w:divBdr>
        <w:top w:val="none" w:sz="0" w:space="0" w:color="auto"/>
        <w:left w:val="none" w:sz="0" w:space="0" w:color="auto"/>
        <w:bottom w:val="none" w:sz="0" w:space="0" w:color="auto"/>
        <w:right w:val="none" w:sz="0" w:space="0" w:color="auto"/>
      </w:divBdr>
    </w:div>
    <w:div w:id="1651128773">
      <w:bodyDiv w:val="1"/>
      <w:marLeft w:val="0"/>
      <w:marRight w:val="0"/>
      <w:marTop w:val="0"/>
      <w:marBottom w:val="0"/>
      <w:divBdr>
        <w:top w:val="none" w:sz="0" w:space="0" w:color="auto"/>
        <w:left w:val="none" w:sz="0" w:space="0" w:color="auto"/>
        <w:bottom w:val="none" w:sz="0" w:space="0" w:color="auto"/>
        <w:right w:val="none" w:sz="0" w:space="0" w:color="auto"/>
      </w:divBdr>
    </w:div>
    <w:div w:id="1661693448">
      <w:bodyDiv w:val="1"/>
      <w:marLeft w:val="0"/>
      <w:marRight w:val="0"/>
      <w:marTop w:val="0"/>
      <w:marBottom w:val="0"/>
      <w:divBdr>
        <w:top w:val="none" w:sz="0" w:space="0" w:color="auto"/>
        <w:left w:val="none" w:sz="0" w:space="0" w:color="auto"/>
        <w:bottom w:val="none" w:sz="0" w:space="0" w:color="auto"/>
        <w:right w:val="none" w:sz="0" w:space="0" w:color="auto"/>
      </w:divBdr>
    </w:div>
    <w:div w:id="1675104540">
      <w:bodyDiv w:val="1"/>
      <w:marLeft w:val="0"/>
      <w:marRight w:val="0"/>
      <w:marTop w:val="0"/>
      <w:marBottom w:val="0"/>
      <w:divBdr>
        <w:top w:val="none" w:sz="0" w:space="0" w:color="auto"/>
        <w:left w:val="none" w:sz="0" w:space="0" w:color="auto"/>
        <w:bottom w:val="none" w:sz="0" w:space="0" w:color="auto"/>
        <w:right w:val="none" w:sz="0" w:space="0" w:color="auto"/>
      </w:divBdr>
      <w:divsChild>
        <w:div w:id="339283926">
          <w:marLeft w:val="0"/>
          <w:marRight w:val="0"/>
          <w:marTop w:val="0"/>
          <w:marBottom w:val="0"/>
          <w:divBdr>
            <w:top w:val="none" w:sz="0" w:space="0" w:color="auto"/>
            <w:left w:val="none" w:sz="0" w:space="0" w:color="auto"/>
            <w:bottom w:val="none" w:sz="0" w:space="0" w:color="auto"/>
            <w:right w:val="none" w:sz="0" w:space="0" w:color="auto"/>
          </w:divBdr>
        </w:div>
      </w:divsChild>
    </w:div>
    <w:div w:id="1808082182">
      <w:bodyDiv w:val="1"/>
      <w:marLeft w:val="0"/>
      <w:marRight w:val="0"/>
      <w:marTop w:val="0"/>
      <w:marBottom w:val="0"/>
      <w:divBdr>
        <w:top w:val="none" w:sz="0" w:space="0" w:color="auto"/>
        <w:left w:val="none" w:sz="0" w:space="0" w:color="auto"/>
        <w:bottom w:val="none" w:sz="0" w:space="0" w:color="auto"/>
        <w:right w:val="none" w:sz="0" w:space="0" w:color="auto"/>
      </w:divBdr>
      <w:divsChild>
        <w:div w:id="1996644796">
          <w:marLeft w:val="0"/>
          <w:marRight w:val="0"/>
          <w:marTop w:val="0"/>
          <w:marBottom w:val="0"/>
          <w:divBdr>
            <w:top w:val="none" w:sz="0" w:space="0" w:color="auto"/>
            <w:left w:val="none" w:sz="0" w:space="0" w:color="auto"/>
            <w:bottom w:val="none" w:sz="0" w:space="0" w:color="auto"/>
            <w:right w:val="none" w:sz="0" w:space="0" w:color="auto"/>
          </w:divBdr>
          <w:divsChild>
            <w:div w:id="1672679405">
              <w:marLeft w:val="0"/>
              <w:marRight w:val="0"/>
              <w:marTop w:val="0"/>
              <w:marBottom w:val="0"/>
              <w:divBdr>
                <w:top w:val="none" w:sz="0" w:space="0" w:color="auto"/>
                <w:left w:val="none" w:sz="0" w:space="0" w:color="auto"/>
                <w:bottom w:val="none" w:sz="0" w:space="0" w:color="auto"/>
                <w:right w:val="none" w:sz="0" w:space="0" w:color="auto"/>
              </w:divBdr>
            </w:div>
          </w:divsChild>
        </w:div>
        <w:div w:id="917130221">
          <w:marLeft w:val="0"/>
          <w:marRight w:val="0"/>
          <w:marTop w:val="0"/>
          <w:marBottom w:val="0"/>
          <w:divBdr>
            <w:top w:val="none" w:sz="0" w:space="0" w:color="auto"/>
            <w:left w:val="none" w:sz="0" w:space="0" w:color="auto"/>
            <w:bottom w:val="none" w:sz="0" w:space="0" w:color="auto"/>
            <w:right w:val="none" w:sz="0" w:space="0" w:color="auto"/>
          </w:divBdr>
          <w:divsChild>
            <w:div w:id="1802115172">
              <w:marLeft w:val="0"/>
              <w:marRight w:val="0"/>
              <w:marTop w:val="0"/>
              <w:marBottom w:val="0"/>
              <w:divBdr>
                <w:top w:val="none" w:sz="0" w:space="0" w:color="auto"/>
                <w:left w:val="none" w:sz="0" w:space="0" w:color="auto"/>
                <w:bottom w:val="none" w:sz="0" w:space="0" w:color="auto"/>
                <w:right w:val="none" w:sz="0" w:space="0" w:color="auto"/>
              </w:divBdr>
              <w:divsChild>
                <w:div w:id="502015675">
                  <w:marLeft w:val="0"/>
                  <w:marRight w:val="0"/>
                  <w:marTop w:val="0"/>
                  <w:marBottom w:val="0"/>
                  <w:divBdr>
                    <w:top w:val="none" w:sz="0" w:space="0" w:color="auto"/>
                    <w:left w:val="none" w:sz="0" w:space="0" w:color="auto"/>
                    <w:bottom w:val="none" w:sz="0" w:space="0" w:color="auto"/>
                    <w:right w:val="none" w:sz="0" w:space="0" w:color="auto"/>
                  </w:divBdr>
                  <w:divsChild>
                    <w:div w:id="371659611">
                      <w:marLeft w:val="0"/>
                      <w:marRight w:val="0"/>
                      <w:marTop w:val="0"/>
                      <w:marBottom w:val="0"/>
                      <w:divBdr>
                        <w:top w:val="none" w:sz="0" w:space="0" w:color="auto"/>
                        <w:left w:val="none" w:sz="0" w:space="0" w:color="auto"/>
                        <w:bottom w:val="none" w:sz="0" w:space="0" w:color="auto"/>
                        <w:right w:val="none" w:sz="0" w:space="0" w:color="auto"/>
                      </w:divBdr>
                      <w:divsChild>
                        <w:div w:id="352152844">
                          <w:marLeft w:val="0"/>
                          <w:marRight w:val="0"/>
                          <w:marTop w:val="0"/>
                          <w:marBottom w:val="0"/>
                          <w:divBdr>
                            <w:top w:val="none" w:sz="0" w:space="0" w:color="auto"/>
                            <w:left w:val="none" w:sz="0" w:space="0" w:color="auto"/>
                            <w:bottom w:val="none" w:sz="0" w:space="0" w:color="auto"/>
                            <w:right w:val="none" w:sz="0" w:space="0" w:color="auto"/>
                          </w:divBdr>
                          <w:divsChild>
                            <w:div w:id="4249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2335">
      <w:bodyDiv w:val="1"/>
      <w:marLeft w:val="0"/>
      <w:marRight w:val="0"/>
      <w:marTop w:val="0"/>
      <w:marBottom w:val="0"/>
      <w:divBdr>
        <w:top w:val="none" w:sz="0" w:space="0" w:color="auto"/>
        <w:left w:val="none" w:sz="0" w:space="0" w:color="auto"/>
        <w:bottom w:val="none" w:sz="0" w:space="0" w:color="auto"/>
        <w:right w:val="none" w:sz="0" w:space="0" w:color="auto"/>
      </w:divBdr>
    </w:div>
    <w:div w:id="1953628918">
      <w:bodyDiv w:val="1"/>
      <w:marLeft w:val="0"/>
      <w:marRight w:val="0"/>
      <w:marTop w:val="0"/>
      <w:marBottom w:val="0"/>
      <w:divBdr>
        <w:top w:val="none" w:sz="0" w:space="0" w:color="auto"/>
        <w:left w:val="none" w:sz="0" w:space="0" w:color="auto"/>
        <w:bottom w:val="none" w:sz="0" w:space="0" w:color="auto"/>
        <w:right w:val="none" w:sz="0" w:space="0" w:color="auto"/>
      </w:divBdr>
    </w:div>
    <w:div w:id="201530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lrc.org/resource/valrcs-inclusive-virginia-website/" TargetMode="External"/><Relationship Id="rId18" Type="http://schemas.openxmlformats.org/officeDocument/2006/relationships/hyperlink" Target="https://www.doe.virginia.gov/home/showpublisheddocument/34750/638085261102870000" TargetMode="External"/><Relationship Id="rId26" Type="http://schemas.openxmlformats.org/officeDocument/2006/relationships/hyperlink" Target="https://valrc.org/resources/?_sft_resource_topic=standards-based-instruction" TargetMode="External"/><Relationship Id="rId3" Type="http://schemas.openxmlformats.org/officeDocument/2006/relationships/styles" Target="styles.xml"/><Relationship Id="rId21" Type="http://schemas.openxmlformats.org/officeDocument/2006/relationships/hyperlink" Target="https://va-career-works.myjourney.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alrc.org/resources/" TargetMode="External"/><Relationship Id="rId17" Type="http://schemas.openxmlformats.org/officeDocument/2006/relationships/hyperlink" Target="https://vaged.vcu.edu/" TargetMode="External"/><Relationship Id="rId25" Type="http://schemas.openxmlformats.org/officeDocument/2006/relationships/hyperlink" Target="https://ietblueprint.com/redesigning-ie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aged.vcu.edu/" TargetMode="External"/><Relationship Id="rId20" Type="http://schemas.openxmlformats.org/officeDocument/2006/relationships/hyperlink" Target="https://youtu.be/F2HNN1sRX1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fmAxOgOB0OMWoOrd3v5ZlChS-zE7nP_BezQuHSHQ4Q/edit" TargetMode="External"/><Relationship Id="rId24" Type="http://schemas.openxmlformats.org/officeDocument/2006/relationships/hyperlink" Target="https://www.doe.virginia.gov/home/showpublisheddocument/34748/638067006438270000"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aged.vcu.edu/" TargetMode="External"/><Relationship Id="rId23" Type="http://schemas.openxmlformats.org/officeDocument/2006/relationships/hyperlink" Target="https://www.youtube.com/watch?v=wWMpTj3gemY&amp;feature=youtu.be" TargetMode="External"/><Relationship Id="rId28" Type="http://schemas.openxmlformats.org/officeDocument/2006/relationships/hyperlink" Target="https://vadoc.virginia.gov/media/1681/vadoc-recidivism-re-arrest-rates-report-2016.pdf" TargetMode="External"/><Relationship Id="rId10" Type="http://schemas.openxmlformats.org/officeDocument/2006/relationships/hyperlink" Target="https://virginiacareerworks.com/wp-content/uploads/Virginia_CSP_PYs_2020-2023-FINAL-Federally-Approved.pdf" TargetMode="External"/><Relationship Id="rId19" Type="http://schemas.openxmlformats.org/officeDocument/2006/relationships/hyperlink" Target="https://www.doe.virginia.gov/home/showpublisheddocument/34728/63821649631827000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oe.virginia.gov/teaching-learning-assessment/specialized-instruction/adult-education/data-monitoring-evaluation" TargetMode="External"/><Relationship Id="rId14" Type="http://schemas.openxmlformats.org/officeDocument/2006/relationships/hyperlink" Target="https://sites.google.com/vcu.edu/ael-conference/home" TargetMode="External"/><Relationship Id="rId22" Type="http://schemas.openxmlformats.org/officeDocument/2006/relationships/hyperlink" Target="https://www.doe.virginia.gov/home/showpublisheddocument/34746/638067006116370000" TargetMode="External"/><Relationship Id="rId27" Type="http://schemas.openxmlformats.org/officeDocument/2006/relationships/hyperlink" Target="https://lincs.ed.gov/state-resources/federal-initiatives/teaching-skills-matter-adult-education"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AD7A-EFF5-47F1-B094-2AC5B94B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5974</Words>
  <Characters>34057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VA Adult Education Narrative Report PY18-19</vt:lpstr>
    </vt:vector>
  </TitlesOfParts>
  <Company>Virginia IT Infrastructure Partnership</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Adult Education Narrative Report PY18-19</dc:title>
  <dc:creator>Silver-Pacuilla, Heidi (DOE)</dc:creator>
  <cp:lastModifiedBy>Deputy, Sarah (DOE)</cp:lastModifiedBy>
  <cp:revision>9</cp:revision>
  <cp:lastPrinted>2021-12-14T16:18:00Z</cp:lastPrinted>
  <dcterms:created xsi:type="dcterms:W3CDTF">2021-12-14T15:35:00Z</dcterms:created>
  <dcterms:modified xsi:type="dcterms:W3CDTF">2023-07-25T18:35:00Z</dcterms:modified>
</cp:coreProperties>
</file>