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079" w:rsidRDefault="004A507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
        <w:tblDescription w:val="Mathematics Teaching Practices and Equitable Teaching Practices"/>
      </w:tblPr>
      <w:tblGrid>
        <w:gridCol w:w="5395"/>
        <w:gridCol w:w="5395"/>
      </w:tblGrid>
      <w:tr w:rsidR="004A5079" w:rsidTr="002E571E">
        <w:trPr>
          <w:tblHeader/>
        </w:trPr>
        <w:tc>
          <w:tcPr>
            <w:tcW w:w="10790" w:type="dxa"/>
            <w:gridSpan w:val="2"/>
            <w:shd w:val="clear" w:color="auto" w:fill="C5E0B3"/>
          </w:tcPr>
          <w:p w:rsidR="004A5079" w:rsidRDefault="006A4258">
            <w:pPr>
              <w:jc w:val="center"/>
              <w:rPr>
                <w:b/>
                <w:sz w:val="24"/>
                <w:szCs w:val="24"/>
              </w:rPr>
            </w:pPr>
            <w:r>
              <w:rPr>
                <w:b/>
                <w:sz w:val="24"/>
                <w:szCs w:val="24"/>
              </w:rPr>
              <w:t>Mathematics Teaching Practices: Supporting Equitable Mathematics Teaching</w:t>
            </w:r>
          </w:p>
        </w:tc>
      </w:tr>
      <w:tr w:rsidR="004A5079">
        <w:tc>
          <w:tcPr>
            <w:tcW w:w="5395" w:type="dxa"/>
            <w:shd w:val="clear" w:color="auto" w:fill="C5E0B3"/>
          </w:tcPr>
          <w:p w:rsidR="004A5079" w:rsidRDefault="006A4258">
            <w:pPr>
              <w:jc w:val="center"/>
              <w:rPr>
                <w:sz w:val="24"/>
                <w:szCs w:val="24"/>
              </w:rPr>
            </w:pPr>
            <w:r>
              <w:rPr>
                <w:sz w:val="24"/>
                <w:szCs w:val="24"/>
              </w:rPr>
              <w:t>Mathematics Teaching Practices</w:t>
            </w:r>
          </w:p>
        </w:tc>
        <w:tc>
          <w:tcPr>
            <w:tcW w:w="5395" w:type="dxa"/>
            <w:shd w:val="clear" w:color="auto" w:fill="C5E0B3"/>
          </w:tcPr>
          <w:p w:rsidR="004A5079" w:rsidRDefault="006A4258">
            <w:pPr>
              <w:jc w:val="center"/>
              <w:rPr>
                <w:sz w:val="24"/>
                <w:szCs w:val="24"/>
              </w:rPr>
            </w:pPr>
            <w:r>
              <w:rPr>
                <w:sz w:val="24"/>
                <w:szCs w:val="24"/>
              </w:rPr>
              <w:t>Equitable Teaching</w:t>
            </w:r>
          </w:p>
        </w:tc>
      </w:tr>
      <w:tr w:rsidR="004A5079">
        <w:tc>
          <w:tcPr>
            <w:tcW w:w="5395" w:type="dxa"/>
          </w:tcPr>
          <w:p w:rsidR="004A5079" w:rsidRDefault="006A4258">
            <w:r>
              <w:rPr>
                <w:b/>
              </w:rPr>
              <w:t>Facilitate meaningful mathematical discourse.</w:t>
            </w:r>
            <w:r>
              <w:t xml:space="preserve">  Effective teaching of mathematics facilitates discourse among students to build shared understanding of mathematical ideas by analyzing and comparing student approaches and arguments.</w:t>
            </w:r>
          </w:p>
        </w:tc>
        <w:tc>
          <w:tcPr>
            <w:tcW w:w="5395" w:type="dxa"/>
          </w:tcPr>
          <w:p w:rsidR="004A5079" w:rsidRDefault="006A4258">
            <w:pPr>
              <w:numPr>
                <w:ilvl w:val="0"/>
                <w:numId w:val="3"/>
              </w:numPr>
              <w:pBdr>
                <w:top w:val="nil"/>
                <w:left w:val="nil"/>
                <w:bottom w:val="nil"/>
                <w:right w:val="nil"/>
                <w:between w:val="nil"/>
              </w:pBdr>
              <w:contextualSpacing/>
            </w:pPr>
            <w:r>
              <w:rPr>
                <w:color w:val="000000"/>
              </w:rPr>
              <w:t>Use discourse to elicit students’ ideas and strategies and create space for students to interact with peers to value multiple contributions and diminish hierarchical status among students (i.e., perceptions of differences in smartness and ability to participate).</w:t>
            </w:r>
          </w:p>
          <w:p w:rsidR="004A5079" w:rsidRDefault="006A4258">
            <w:pPr>
              <w:numPr>
                <w:ilvl w:val="0"/>
                <w:numId w:val="3"/>
              </w:numPr>
              <w:pBdr>
                <w:top w:val="nil"/>
                <w:left w:val="nil"/>
                <w:bottom w:val="nil"/>
                <w:right w:val="nil"/>
                <w:between w:val="nil"/>
              </w:pBdr>
              <w:contextualSpacing/>
            </w:pPr>
            <w:r>
              <w:rPr>
                <w:color w:val="000000"/>
              </w:rPr>
              <w:t xml:space="preserve">Use discourse to attend to ways in which </w:t>
            </w:r>
            <w:proofErr w:type="gramStart"/>
            <w:r>
              <w:rPr>
                <w:color w:val="000000"/>
              </w:rPr>
              <w:t>students</w:t>
            </w:r>
            <w:proofErr w:type="gramEnd"/>
            <w:r>
              <w:rPr>
                <w:color w:val="000000"/>
              </w:rPr>
              <w:t xml:space="preserve"> position one another as capable or not capable of doing mathematics.</w:t>
            </w:r>
          </w:p>
          <w:p w:rsidR="004A5079" w:rsidRDefault="006A4258">
            <w:pPr>
              <w:numPr>
                <w:ilvl w:val="0"/>
                <w:numId w:val="3"/>
              </w:numPr>
              <w:pBdr>
                <w:top w:val="nil"/>
                <w:left w:val="nil"/>
                <w:bottom w:val="nil"/>
                <w:right w:val="nil"/>
                <w:between w:val="nil"/>
              </w:pBdr>
              <w:contextualSpacing/>
            </w:pPr>
            <w:r>
              <w:rPr>
                <w:color w:val="000000"/>
              </w:rPr>
              <w:t>Make discourse an expected and natural part of mathematical thinking and reasoning, providing students with the space and confidence to ask questions that enhance their own mathematical learning.</w:t>
            </w:r>
          </w:p>
          <w:p w:rsidR="004A5079" w:rsidRDefault="006A4258">
            <w:pPr>
              <w:numPr>
                <w:ilvl w:val="0"/>
                <w:numId w:val="3"/>
              </w:numPr>
              <w:pBdr>
                <w:top w:val="nil"/>
                <w:left w:val="nil"/>
                <w:bottom w:val="nil"/>
                <w:right w:val="nil"/>
                <w:between w:val="nil"/>
              </w:pBdr>
              <w:contextualSpacing/>
            </w:pPr>
            <w:r>
              <w:rPr>
                <w:color w:val="000000"/>
              </w:rPr>
              <w:t>Use discourse as a means to disrupt structures and language that marginalize students.</w:t>
            </w:r>
          </w:p>
        </w:tc>
        <w:bookmarkStart w:id="0" w:name="_GoBack"/>
        <w:bookmarkEnd w:id="0"/>
      </w:tr>
      <w:tr w:rsidR="004A5079">
        <w:tc>
          <w:tcPr>
            <w:tcW w:w="5395" w:type="dxa"/>
          </w:tcPr>
          <w:p w:rsidR="004A5079" w:rsidRDefault="006A4258">
            <w:r>
              <w:rPr>
                <w:b/>
              </w:rPr>
              <w:t xml:space="preserve">Pose purposeful questions.  </w:t>
            </w:r>
            <w:r>
              <w:t>Effective teaching of mathematics uses purposeful questions to assess and advance students’ reasoning and sense making about important mathematical ideas and relationships.</w:t>
            </w:r>
          </w:p>
        </w:tc>
        <w:tc>
          <w:tcPr>
            <w:tcW w:w="5395" w:type="dxa"/>
          </w:tcPr>
          <w:p w:rsidR="004A5079" w:rsidRDefault="006A4258">
            <w:pPr>
              <w:numPr>
                <w:ilvl w:val="0"/>
                <w:numId w:val="3"/>
              </w:numPr>
              <w:pBdr>
                <w:top w:val="nil"/>
                <w:left w:val="nil"/>
                <w:bottom w:val="nil"/>
                <w:right w:val="nil"/>
                <w:between w:val="nil"/>
              </w:pBdr>
              <w:contextualSpacing/>
            </w:pPr>
            <w:r>
              <w:rPr>
                <w:color w:val="000000"/>
              </w:rPr>
              <w:t xml:space="preserve">Pose purposeful questions, then listen to, and understand students’ thinking to signal to students that their thinking is valued and makes sense. </w:t>
            </w:r>
          </w:p>
          <w:p w:rsidR="004A5079" w:rsidRDefault="006A4258">
            <w:pPr>
              <w:numPr>
                <w:ilvl w:val="0"/>
                <w:numId w:val="3"/>
              </w:numPr>
              <w:pBdr>
                <w:top w:val="nil"/>
                <w:left w:val="nil"/>
                <w:bottom w:val="nil"/>
                <w:right w:val="nil"/>
                <w:between w:val="nil"/>
              </w:pBdr>
              <w:contextualSpacing/>
            </w:pPr>
            <w:r>
              <w:rPr>
                <w:color w:val="000000"/>
              </w:rPr>
              <w:t>Pose purposeful questions to assign competence to students. Verbally mark students’ ideas as interesting or identify an important aspect of students’ strategies to position them as competent.</w:t>
            </w:r>
          </w:p>
          <w:p w:rsidR="004A5079" w:rsidRDefault="006A4258">
            <w:pPr>
              <w:numPr>
                <w:ilvl w:val="0"/>
                <w:numId w:val="3"/>
              </w:numPr>
              <w:pBdr>
                <w:top w:val="nil"/>
                <w:left w:val="nil"/>
                <w:bottom w:val="nil"/>
                <w:right w:val="nil"/>
                <w:between w:val="nil"/>
              </w:pBdr>
              <w:contextualSpacing/>
            </w:pPr>
            <w:r>
              <w:rPr>
                <w:color w:val="000000"/>
              </w:rPr>
              <w:t xml:space="preserve">Be mindful of the fact that the questions that a teacher asks a student and how the teacher follows up on the student’s response can support the student’s development of a positive mathematical identity and sense of agency as a thinker and doer of mathematics. </w:t>
            </w:r>
          </w:p>
        </w:tc>
      </w:tr>
      <w:tr w:rsidR="004A5079">
        <w:tc>
          <w:tcPr>
            <w:tcW w:w="5395" w:type="dxa"/>
          </w:tcPr>
          <w:p w:rsidR="004A5079" w:rsidRDefault="006A4258">
            <w:r>
              <w:rPr>
                <w:b/>
              </w:rPr>
              <w:t xml:space="preserve">Use and connect mathematical representations. </w:t>
            </w:r>
            <w:r>
              <w:t>Effective teaching of mathematics engages students in making connections among mathematical representations to deepen understanding of mathematical concepts and procedures and to use as tools for problem solving.</w:t>
            </w:r>
          </w:p>
        </w:tc>
        <w:tc>
          <w:tcPr>
            <w:tcW w:w="5395" w:type="dxa"/>
          </w:tcPr>
          <w:p w:rsidR="004A5079" w:rsidRDefault="006A4258">
            <w:pPr>
              <w:numPr>
                <w:ilvl w:val="0"/>
                <w:numId w:val="3"/>
              </w:numPr>
              <w:pBdr>
                <w:top w:val="nil"/>
                <w:left w:val="nil"/>
                <w:bottom w:val="nil"/>
                <w:right w:val="nil"/>
                <w:between w:val="nil"/>
              </w:pBdr>
              <w:contextualSpacing/>
            </w:pPr>
            <w:r>
              <w:rPr>
                <w:color w:val="000000"/>
              </w:rPr>
              <w:t>Use multiple representations so that students draw on multiple resources of knowledge to position them as competent.</w:t>
            </w:r>
          </w:p>
          <w:p w:rsidR="004A5079" w:rsidRDefault="006A4258">
            <w:pPr>
              <w:numPr>
                <w:ilvl w:val="0"/>
                <w:numId w:val="3"/>
              </w:numPr>
              <w:pBdr>
                <w:top w:val="nil"/>
                <w:left w:val="nil"/>
                <w:bottom w:val="nil"/>
                <w:right w:val="nil"/>
                <w:between w:val="nil"/>
              </w:pBdr>
              <w:contextualSpacing/>
            </w:pPr>
            <w:r>
              <w:rPr>
                <w:color w:val="000000"/>
              </w:rPr>
              <w:t>Use multiple representations to draw on knowledge and experiences related to the resources that students bring to mathematics (culture, contexts, and experiences).</w:t>
            </w:r>
          </w:p>
          <w:p w:rsidR="004A5079" w:rsidRDefault="006A4258">
            <w:pPr>
              <w:numPr>
                <w:ilvl w:val="0"/>
                <w:numId w:val="3"/>
              </w:numPr>
              <w:pBdr>
                <w:top w:val="nil"/>
                <w:left w:val="nil"/>
                <w:bottom w:val="nil"/>
                <w:right w:val="nil"/>
                <w:between w:val="nil"/>
              </w:pBdr>
              <w:contextualSpacing/>
            </w:pPr>
            <w:r>
              <w:rPr>
                <w:color w:val="000000"/>
              </w:rPr>
              <w:t xml:space="preserve">Use multiple representations to promote the creation and discussion of unique mathematical representations to position students as mathematically competent. </w:t>
            </w:r>
          </w:p>
        </w:tc>
      </w:tr>
      <w:tr w:rsidR="004A5079">
        <w:tc>
          <w:tcPr>
            <w:tcW w:w="5395" w:type="dxa"/>
          </w:tcPr>
          <w:p w:rsidR="004A5079" w:rsidRDefault="006A4258">
            <w:r>
              <w:rPr>
                <w:b/>
              </w:rPr>
              <w:t xml:space="preserve">Elicit and use evidence of student thinking. </w:t>
            </w:r>
            <w:r>
              <w:t>Effective teaching of mathematics uses evidence of student thinking to assess progress toward mathematical understanding and to adjust instruction continually in ways that support and extend learning.</w:t>
            </w:r>
          </w:p>
        </w:tc>
        <w:tc>
          <w:tcPr>
            <w:tcW w:w="5395" w:type="dxa"/>
          </w:tcPr>
          <w:p w:rsidR="004A5079" w:rsidRDefault="006A4258">
            <w:pPr>
              <w:numPr>
                <w:ilvl w:val="0"/>
                <w:numId w:val="1"/>
              </w:numPr>
              <w:pBdr>
                <w:top w:val="nil"/>
                <w:left w:val="nil"/>
                <w:bottom w:val="nil"/>
                <w:right w:val="nil"/>
                <w:between w:val="nil"/>
              </w:pBdr>
              <w:contextualSpacing/>
            </w:pPr>
            <w:r>
              <w:rPr>
                <w:color w:val="000000"/>
              </w:rPr>
              <w:t xml:space="preserve">Elicit student thinking and make use of it during a lesson to send positive messages about students’ mathematical identities. </w:t>
            </w:r>
          </w:p>
          <w:p w:rsidR="004A5079" w:rsidRDefault="006A4258">
            <w:pPr>
              <w:numPr>
                <w:ilvl w:val="0"/>
                <w:numId w:val="1"/>
              </w:numPr>
              <w:pBdr>
                <w:top w:val="nil"/>
                <w:left w:val="nil"/>
                <w:bottom w:val="nil"/>
                <w:right w:val="nil"/>
                <w:between w:val="nil"/>
              </w:pBdr>
              <w:contextualSpacing/>
            </w:pPr>
            <w:r>
              <w:rPr>
                <w:color w:val="000000"/>
              </w:rPr>
              <w:t>Make student thinking public, and then choose to elevate a student to a more prominent position in the discussion by identifying his or her idea as worth exploring, to cultivate a positive mathematical identity.</w:t>
            </w:r>
          </w:p>
          <w:p w:rsidR="004A5079" w:rsidRDefault="006A4258">
            <w:pPr>
              <w:numPr>
                <w:ilvl w:val="0"/>
                <w:numId w:val="1"/>
              </w:numPr>
              <w:pBdr>
                <w:top w:val="nil"/>
                <w:left w:val="nil"/>
                <w:bottom w:val="nil"/>
                <w:right w:val="nil"/>
                <w:between w:val="nil"/>
              </w:pBdr>
              <w:contextualSpacing/>
            </w:pPr>
            <w:r>
              <w:rPr>
                <w:color w:val="000000"/>
              </w:rPr>
              <w:t>Promote a classroom culture in which mistakes and errors are viewed as important reasoning opportunities, to encourage a wider range of students to engage in mathematical discussions with their peers and the teacher.</w:t>
            </w:r>
          </w:p>
        </w:tc>
      </w:tr>
      <w:tr w:rsidR="004A5079">
        <w:tc>
          <w:tcPr>
            <w:tcW w:w="5395" w:type="dxa"/>
          </w:tcPr>
          <w:p w:rsidR="004A5079" w:rsidRDefault="006A4258">
            <w:r>
              <w:rPr>
                <w:b/>
              </w:rPr>
              <w:t xml:space="preserve">Support productive struggle in learning mathematics. </w:t>
            </w:r>
            <w:r>
              <w:t>Effective teaching of mathematics consistently provides students, individually and collectively, with opportunities and supports to engage in productive struggle as they grapple with mathematical ideas and relationships.</w:t>
            </w:r>
          </w:p>
        </w:tc>
        <w:tc>
          <w:tcPr>
            <w:tcW w:w="5395" w:type="dxa"/>
          </w:tcPr>
          <w:p w:rsidR="004A5079" w:rsidRDefault="006A4258">
            <w:pPr>
              <w:numPr>
                <w:ilvl w:val="0"/>
                <w:numId w:val="2"/>
              </w:numPr>
              <w:pBdr>
                <w:top w:val="nil"/>
                <w:left w:val="nil"/>
                <w:bottom w:val="nil"/>
                <w:right w:val="nil"/>
                <w:between w:val="nil"/>
              </w:pBdr>
              <w:contextualSpacing/>
            </w:pPr>
            <w:r>
              <w:rPr>
                <w:color w:val="000000"/>
              </w:rPr>
              <w:t>Allow time for students to engage with mathematical ideas to support perseverance and identity development.</w:t>
            </w:r>
          </w:p>
          <w:p w:rsidR="004A5079" w:rsidRDefault="006A4258">
            <w:pPr>
              <w:numPr>
                <w:ilvl w:val="0"/>
                <w:numId w:val="2"/>
              </w:numPr>
              <w:pBdr>
                <w:top w:val="nil"/>
                <w:left w:val="nil"/>
                <w:bottom w:val="nil"/>
                <w:right w:val="nil"/>
                <w:between w:val="nil"/>
              </w:pBdr>
              <w:contextualSpacing/>
            </w:pPr>
            <w:r>
              <w:rPr>
                <w:color w:val="000000"/>
              </w:rPr>
              <w:t>Hold high expectations, while offering just enough support and scaffolding to facilitate student progress on challenging work, to communicate caring and confidence in students.</w:t>
            </w:r>
          </w:p>
        </w:tc>
      </w:tr>
    </w:tbl>
    <w:bookmarkStart w:id="1" w:name="_gjdgxs" w:colFirst="0" w:colLast="0"/>
    <w:bookmarkEnd w:id="1"/>
    <w:p w:rsidR="004A5079" w:rsidRDefault="006A4258">
      <w:r>
        <w:rPr>
          <w:noProof/>
        </w:rPr>
        <mc:AlternateContent>
          <mc:Choice Requires="wps">
            <w:drawing>
              <wp:anchor distT="0" distB="0" distL="114300" distR="114300" simplePos="0" relativeHeight="251658240" behindDoc="0" locked="0" layoutInCell="1" hidden="0" allowOverlap="1">
                <wp:simplePos x="0" y="0"/>
                <wp:positionH relativeFrom="margin">
                  <wp:posOffset>-53340</wp:posOffset>
                </wp:positionH>
                <wp:positionV relativeFrom="paragraph">
                  <wp:posOffset>254000</wp:posOffset>
                </wp:positionV>
                <wp:extent cx="6898521" cy="373735"/>
                <wp:effectExtent l="0" t="0" r="0" b="0"/>
                <wp:wrapNone/>
                <wp:docPr id="1" name="Rectangle 1"/>
                <wp:cNvGraphicFramePr/>
                <a:graphic xmlns:a="http://schemas.openxmlformats.org/drawingml/2006/main">
                  <a:graphicData uri="http://schemas.microsoft.com/office/word/2010/wordprocessingShape">
                    <wps:wsp>
                      <wps:cNvSpPr/>
                      <wps:spPr>
                        <a:xfrm>
                          <a:off x="0" y="0"/>
                          <a:ext cx="6898521" cy="373735"/>
                        </a:xfrm>
                        <a:prstGeom prst="rect">
                          <a:avLst/>
                        </a:prstGeom>
                        <a:solidFill>
                          <a:schemeClr val="lt1"/>
                        </a:solidFill>
                        <a:ln>
                          <a:noFill/>
                        </a:ln>
                      </wps:spPr>
                      <wps:txbx>
                        <w:txbxContent>
                          <w:p w:rsidR="004A5079" w:rsidRDefault="006A4258">
                            <w:pPr>
                              <w:jc w:val="center"/>
                              <w:textDirection w:val="btLr"/>
                            </w:pPr>
                            <w:r>
                              <w:rPr>
                                <w:color w:val="000000"/>
                              </w:rPr>
                              <w:t xml:space="preserve">Adapted from NCTM. </w:t>
                            </w:r>
                            <w:r>
                              <w:rPr>
                                <w:i/>
                                <w:color w:val="000000"/>
                              </w:rPr>
                              <w:t xml:space="preserve">Catalyzing Change in High School Mathematics – Initiating Critical Conversations.  </w:t>
                            </w:r>
                            <w:r>
                              <w:rPr>
                                <w:color w:val="000000"/>
                              </w:rPr>
                              <w:t>2018</w:t>
                            </w:r>
                          </w:p>
                        </w:txbxContent>
                      </wps:txbx>
                      <wps:bodyPr spcFirstLastPara="1" wrap="square" lIns="91425" tIns="45700" rIns="91425" bIns="45700" anchor="t" anchorCtr="0"/>
                    </wps:wsp>
                  </a:graphicData>
                </a:graphic>
              </wp:anchor>
            </w:drawing>
          </mc:Choice>
          <mc:Fallback>
            <w:pict>
              <v:rect id="Rectangle 1" o:spid="_x0000_s1026" style="position:absolute;margin-left:-4.2pt;margin-top:20pt;width:543.2pt;height:29.4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" fillcolor="white [3201]" stroked="f">
                <v:textbox inset="2.53958mm,1.2694mm,2.53958mm,1.2694mm">
                  <w:txbxContent>
                    <w:p w:rsidR="004A5079" w:rsidRDefault="006A4258">
                      <w:pPr>
                        <w:jc w:val="center"/>
                        <w:textDirection w:val="btLr"/>
                      </w:pPr>
                      <w:r>
                        <w:rPr>
                          <w:color w:val="000000"/>
                        </w:rPr>
                        <w:t xml:space="preserve">Adapted from NCTM. </w:t>
                      </w:r>
                      <w:r>
                        <w:rPr>
                          <w:i/>
                          <w:color w:val="000000"/>
                        </w:rPr>
                        <w:t xml:space="preserve">Catalyzing Change in High School Mathematics – Initiating Critical Conversations.  </w:t>
                      </w:r>
                      <w:r>
                        <w:rPr>
                          <w:color w:val="000000"/>
                        </w:rPr>
                        <w:t>2018</w:t>
                      </w:r>
                    </w:p>
                  </w:txbxContent>
                </v:textbox>
                <w10:wrap anchorx="margin"/>
              </v:rect>
            </w:pict>
          </mc:Fallback>
        </mc:AlternateContent>
      </w:r>
    </w:p>
    <w:sectPr w:rsidR="004A5079">
      <w:foot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F4C" w:rsidRDefault="00060F4C" w:rsidP="00060F4C">
      <w:r>
        <w:separator/>
      </w:r>
    </w:p>
  </w:endnote>
  <w:endnote w:type="continuationSeparator" w:id="0">
    <w:p w:rsidR="00060F4C" w:rsidRDefault="00060F4C" w:rsidP="0006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F4C" w:rsidRDefault="00060F4C" w:rsidP="00060F4C">
    <w:pPr>
      <w:pStyle w:val="Footer"/>
      <w:rPr>
        <w:rFonts w:ascii="Verdana" w:hAnsi="Verdana"/>
      </w:rPr>
    </w:pPr>
    <w:r>
      <w:rPr>
        <w:rFonts w:ascii="Verdana" w:hAnsi="Verdana"/>
      </w:rPr>
      <w:t>Virginia Department of Education                                                                 Mathematics Institute 2018</w:t>
    </w:r>
  </w:p>
  <w:p w:rsidR="00060F4C" w:rsidRDefault="0006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F4C" w:rsidRDefault="00060F4C" w:rsidP="00060F4C">
      <w:r>
        <w:separator/>
      </w:r>
    </w:p>
  </w:footnote>
  <w:footnote w:type="continuationSeparator" w:id="0">
    <w:p w:rsidR="00060F4C" w:rsidRDefault="00060F4C" w:rsidP="00060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350F"/>
    <w:multiLevelType w:val="multilevel"/>
    <w:tmpl w:val="902C73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0112BCA"/>
    <w:multiLevelType w:val="multilevel"/>
    <w:tmpl w:val="2AFA27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93565C0"/>
    <w:multiLevelType w:val="multilevel"/>
    <w:tmpl w:val="8FC272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79"/>
    <w:rsid w:val="00060F4C"/>
    <w:rsid w:val="002E571E"/>
    <w:rsid w:val="004A5079"/>
    <w:rsid w:val="006A4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A553E-B17E-4B1A-AAAA-E121854D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60F4C"/>
    <w:pPr>
      <w:tabs>
        <w:tab w:val="center" w:pos="4680"/>
        <w:tab w:val="right" w:pos="9360"/>
      </w:tabs>
    </w:pPr>
  </w:style>
  <w:style w:type="character" w:customStyle="1" w:styleId="HeaderChar">
    <w:name w:val="Header Char"/>
    <w:basedOn w:val="DefaultParagraphFont"/>
    <w:link w:val="Header"/>
    <w:uiPriority w:val="99"/>
    <w:rsid w:val="00060F4C"/>
  </w:style>
  <w:style w:type="paragraph" w:styleId="Footer">
    <w:name w:val="footer"/>
    <w:basedOn w:val="Normal"/>
    <w:link w:val="FooterChar"/>
    <w:uiPriority w:val="99"/>
    <w:unhideWhenUsed/>
    <w:rsid w:val="00060F4C"/>
    <w:pPr>
      <w:tabs>
        <w:tab w:val="center" w:pos="4680"/>
        <w:tab w:val="right" w:pos="9360"/>
      </w:tabs>
    </w:pPr>
  </w:style>
  <w:style w:type="character" w:customStyle="1" w:styleId="FooterChar">
    <w:name w:val="Footer Char"/>
    <w:basedOn w:val="DefaultParagraphFont"/>
    <w:link w:val="Footer"/>
    <w:uiPriority w:val="99"/>
    <w:rsid w:val="00060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Jones</dc:creator>
  <cp:lastModifiedBy>Hope, Kristin (DOE)</cp:lastModifiedBy>
  <cp:revision>4</cp:revision>
  <dcterms:created xsi:type="dcterms:W3CDTF">2018-09-24T13:08:00Z</dcterms:created>
  <dcterms:modified xsi:type="dcterms:W3CDTF">2018-11-01T21:26:00Z</dcterms:modified>
</cp:coreProperties>
</file>