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A34" w:rsidRPr="00352AA3" w:rsidRDefault="00B05036" w:rsidP="00055DC3">
      <w:pPr>
        <w:spacing w:after="0"/>
        <w:jc w:val="center"/>
        <w:rPr>
          <w:rFonts w:ascii="Verdana" w:hAnsi="Verdana"/>
          <w:b/>
          <w:sz w:val="32"/>
          <w:szCs w:val="24"/>
        </w:rPr>
      </w:pPr>
      <w:r w:rsidRPr="00352AA3">
        <w:rPr>
          <w:rFonts w:ascii="Verdana" w:hAnsi="Verdana"/>
          <w:b/>
          <w:sz w:val="32"/>
          <w:szCs w:val="24"/>
        </w:rPr>
        <w:t>Teaching Practice</w:t>
      </w:r>
      <w:r w:rsidR="007C3C1B" w:rsidRPr="00352AA3">
        <w:rPr>
          <w:rFonts w:ascii="Verdana" w:hAnsi="Verdana"/>
          <w:b/>
          <w:sz w:val="32"/>
          <w:szCs w:val="24"/>
        </w:rPr>
        <w:t>s</w:t>
      </w:r>
      <w:r w:rsidRPr="00352AA3">
        <w:rPr>
          <w:rFonts w:ascii="Verdana" w:hAnsi="Verdana"/>
          <w:b/>
          <w:sz w:val="32"/>
          <w:szCs w:val="24"/>
        </w:rPr>
        <w:t>: Research and Equity</w:t>
      </w:r>
    </w:p>
    <w:p w:rsidR="00B05036" w:rsidRPr="00F354EA" w:rsidRDefault="00916A6C" w:rsidP="00916A6C">
      <w:pPr>
        <w:spacing w:after="0"/>
        <w:jc w:val="center"/>
        <w:rPr>
          <w:rFonts w:ascii="Verdana" w:hAnsi="Verdana"/>
          <w:bCs/>
        </w:rPr>
      </w:pPr>
      <w:r w:rsidRPr="00F354EA">
        <w:rPr>
          <w:rFonts w:ascii="Verdana" w:hAnsi="Verdana"/>
          <w:bCs/>
        </w:rPr>
        <w:t xml:space="preserve">Quotes from </w:t>
      </w:r>
      <w:r w:rsidRPr="00F354EA">
        <w:rPr>
          <w:rFonts w:ascii="Verdana" w:hAnsi="Verdana"/>
          <w:bCs/>
          <w:u w:val="single"/>
        </w:rPr>
        <w:t>Taking Action</w:t>
      </w:r>
      <w:r w:rsidR="00F354EA" w:rsidRPr="00F354EA">
        <w:rPr>
          <w:rFonts w:ascii="Verdana" w:hAnsi="Verdana"/>
          <w:bCs/>
          <w:u w:val="single"/>
        </w:rPr>
        <w:t>: Implementing Effective Mathematics Teaching Practices</w:t>
      </w:r>
    </w:p>
    <w:p w:rsidR="00916A6C" w:rsidRDefault="00916A6C" w:rsidP="00055DC3">
      <w:pPr>
        <w:spacing w:after="0"/>
        <w:rPr>
          <w:rFonts w:ascii="Verdana" w:hAnsi="Verdana"/>
          <w:bCs/>
          <w:sz w:val="28"/>
          <w:u w:val="single"/>
        </w:rPr>
      </w:pPr>
    </w:p>
    <w:p w:rsidR="00352AA3" w:rsidRDefault="00352AA3" w:rsidP="00055DC3">
      <w:pPr>
        <w:spacing w:after="0"/>
        <w:rPr>
          <w:rFonts w:ascii="Verdana" w:hAnsi="Verdana"/>
          <w:bCs/>
          <w:sz w:val="28"/>
          <w:u w:val="single"/>
        </w:rPr>
      </w:pPr>
    </w:p>
    <w:p w:rsidR="00B05036" w:rsidRPr="00F354EA" w:rsidRDefault="00F749B5" w:rsidP="007C3C1B">
      <w:pPr>
        <w:spacing w:after="0"/>
        <w:jc w:val="center"/>
        <w:rPr>
          <w:rFonts w:ascii="Verdana" w:hAnsi="Verdana"/>
          <w:b/>
          <w:bCs/>
          <w:sz w:val="24"/>
          <w:szCs w:val="24"/>
          <w:u w:val="single"/>
        </w:rPr>
      </w:pPr>
      <w:r>
        <w:rPr>
          <w:rFonts w:ascii="Verdana" w:hAnsi="Verdana"/>
          <w:b/>
          <w:bCs/>
          <w:sz w:val="24"/>
          <w:szCs w:val="24"/>
          <w:u w:val="single"/>
        </w:rPr>
        <w:t xml:space="preserve">Module 1: </w:t>
      </w:r>
      <w:r w:rsidR="00B05036" w:rsidRPr="00F354EA">
        <w:rPr>
          <w:rFonts w:ascii="Verdana" w:hAnsi="Verdana"/>
          <w:b/>
          <w:bCs/>
          <w:sz w:val="24"/>
          <w:szCs w:val="24"/>
          <w:u w:val="single"/>
        </w:rPr>
        <w:t>Facilitating Discourse</w:t>
      </w:r>
    </w:p>
    <w:p w:rsidR="00055DC3" w:rsidRPr="00F354EA" w:rsidRDefault="00055DC3" w:rsidP="00055DC3">
      <w:pPr>
        <w:spacing w:after="0"/>
        <w:rPr>
          <w:rFonts w:ascii="Verdana" w:hAnsi="Verdana"/>
          <w:bCs/>
          <w:sz w:val="24"/>
          <w:szCs w:val="24"/>
        </w:rPr>
      </w:pPr>
    </w:p>
    <w:tbl>
      <w:tblPr>
        <w:tblStyle w:val="TableGrid"/>
        <w:tblW w:w="9660" w:type="dxa"/>
        <w:tblLook w:val="04A0" w:firstRow="1" w:lastRow="0" w:firstColumn="1" w:lastColumn="0" w:noHBand="0" w:noVBand="1"/>
      </w:tblPr>
      <w:tblGrid>
        <w:gridCol w:w="4907"/>
        <w:gridCol w:w="4753"/>
      </w:tblGrid>
      <w:tr w:rsidR="007C3C1B" w:rsidTr="00352AA3">
        <w:trPr>
          <w:trHeight w:val="505"/>
        </w:trPr>
        <w:tc>
          <w:tcPr>
            <w:tcW w:w="4907" w:type="dxa"/>
            <w:shd w:val="clear" w:color="auto" w:fill="E7E6E6" w:themeFill="background2"/>
          </w:tcPr>
          <w:p w:rsidR="007C3C1B" w:rsidRPr="007C3C1B" w:rsidRDefault="007C3C1B" w:rsidP="007C3C1B">
            <w:pPr>
              <w:jc w:val="center"/>
              <w:rPr>
                <w:rFonts w:ascii="Verdana" w:hAnsi="Verdana"/>
                <w:b/>
                <w:bCs/>
                <w:i/>
                <w:sz w:val="24"/>
                <w:szCs w:val="24"/>
              </w:rPr>
            </w:pPr>
            <w:r w:rsidRPr="007C3C1B">
              <w:rPr>
                <w:rFonts w:ascii="Verdana" w:hAnsi="Verdana"/>
                <w:b/>
                <w:bCs/>
                <w:i/>
                <w:sz w:val="24"/>
                <w:szCs w:val="24"/>
              </w:rPr>
              <w:t>What does the research say about this practice?</w:t>
            </w:r>
          </w:p>
        </w:tc>
        <w:tc>
          <w:tcPr>
            <w:tcW w:w="4753" w:type="dxa"/>
            <w:shd w:val="clear" w:color="auto" w:fill="E7E6E6" w:themeFill="background2"/>
          </w:tcPr>
          <w:p w:rsidR="007C3C1B" w:rsidRPr="007C3C1B" w:rsidRDefault="007C3C1B" w:rsidP="007C3C1B">
            <w:pPr>
              <w:jc w:val="center"/>
              <w:rPr>
                <w:rFonts w:ascii="Verdana" w:hAnsi="Verdana"/>
                <w:b/>
                <w:bCs/>
                <w:i/>
                <w:sz w:val="24"/>
                <w:szCs w:val="24"/>
              </w:rPr>
            </w:pPr>
            <w:r w:rsidRPr="007C3C1B">
              <w:rPr>
                <w:rFonts w:ascii="Verdana" w:hAnsi="Verdana"/>
                <w:b/>
                <w:bCs/>
                <w:i/>
                <w:sz w:val="24"/>
                <w:szCs w:val="24"/>
              </w:rPr>
              <w:t>How does this practice promote e</w:t>
            </w:r>
            <w:r w:rsidR="008E485D">
              <w:rPr>
                <w:rFonts w:ascii="Verdana" w:hAnsi="Verdana"/>
                <w:b/>
                <w:bCs/>
                <w:i/>
                <w:sz w:val="24"/>
                <w:szCs w:val="24"/>
              </w:rPr>
              <w:t>quitable instruction</w:t>
            </w:r>
            <w:r w:rsidRPr="007C3C1B">
              <w:rPr>
                <w:rFonts w:ascii="Verdana" w:hAnsi="Verdana"/>
                <w:b/>
                <w:bCs/>
                <w:i/>
                <w:sz w:val="24"/>
                <w:szCs w:val="24"/>
              </w:rPr>
              <w:t>?</w:t>
            </w:r>
          </w:p>
        </w:tc>
      </w:tr>
      <w:tr w:rsidR="007C3C1B" w:rsidTr="00F749B5">
        <w:trPr>
          <w:trHeight w:val="3264"/>
        </w:trPr>
        <w:tc>
          <w:tcPr>
            <w:tcW w:w="4907" w:type="dxa"/>
          </w:tcPr>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r>
              <w:rPr>
                <w:rFonts w:ascii="Verdana" w:hAnsi="Verdana"/>
                <w:bCs/>
                <w:sz w:val="24"/>
                <w:szCs w:val="24"/>
              </w:rPr>
              <w:t>Corner 1</w:t>
            </w:r>
          </w:p>
          <w:p w:rsidR="007C3C1B" w:rsidRDefault="007C3C1B" w:rsidP="007C3C1B">
            <w:pPr>
              <w:rPr>
                <w:rFonts w:ascii="Verdana" w:hAnsi="Verdana"/>
                <w:sz w:val="24"/>
                <w:szCs w:val="24"/>
              </w:rPr>
            </w:pPr>
          </w:p>
          <w:p w:rsidR="007C3C1B" w:rsidRPr="007C3C1B" w:rsidRDefault="007C3C1B" w:rsidP="007C3C1B">
            <w:pPr>
              <w:rPr>
                <w:rFonts w:ascii="Verdana" w:hAnsi="Verdana"/>
                <w:sz w:val="24"/>
                <w:szCs w:val="24"/>
              </w:rPr>
            </w:pPr>
            <w:r w:rsidRPr="007C3C1B">
              <w:rPr>
                <w:rFonts w:ascii="Verdana" w:hAnsi="Verdana"/>
                <w:sz w:val="24"/>
                <w:szCs w:val="24"/>
              </w:rPr>
              <w:t>A wide array of research over the past two decades has underscored the important connections between mathematics classroom discourse that focuses on reasoning and problem solving and positive student learning outcomes</w:t>
            </w:r>
            <w:r w:rsidR="00DB7CF1">
              <w:rPr>
                <w:rFonts w:ascii="Verdana" w:hAnsi="Verdana"/>
                <w:sz w:val="24"/>
                <w:szCs w:val="24"/>
              </w:rPr>
              <w:t>. (p. 175)</w:t>
            </w:r>
          </w:p>
          <w:p w:rsidR="007C3C1B" w:rsidRDefault="007C3C1B" w:rsidP="00055DC3">
            <w:pPr>
              <w:rPr>
                <w:rFonts w:ascii="Verdana" w:hAnsi="Verdana"/>
                <w:bCs/>
                <w:sz w:val="24"/>
                <w:szCs w:val="24"/>
              </w:rPr>
            </w:pPr>
          </w:p>
        </w:tc>
        <w:tc>
          <w:tcPr>
            <w:tcW w:w="4753" w:type="dxa"/>
          </w:tcPr>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r>
              <w:rPr>
                <w:rFonts w:ascii="Verdana" w:hAnsi="Verdana"/>
                <w:bCs/>
                <w:sz w:val="24"/>
                <w:szCs w:val="24"/>
              </w:rPr>
              <w:t>Corner 3</w:t>
            </w:r>
          </w:p>
          <w:p w:rsidR="007C3C1B" w:rsidRDefault="007C3C1B" w:rsidP="007C3C1B">
            <w:pPr>
              <w:rPr>
                <w:rFonts w:ascii="Verdana" w:hAnsi="Verdana"/>
                <w:sz w:val="24"/>
                <w:szCs w:val="24"/>
              </w:rPr>
            </w:pPr>
          </w:p>
          <w:p w:rsidR="007C3C1B" w:rsidRPr="007C3C1B" w:rsidRDefault="007C3C1B" w:rsidP="007C3C1B">
            <w:pPr>
              <w:rPr>
                <w:rFonts w:ascii="Verdana" w:hAnsi="Verdana"/>
                <w:bCs/>
                <w:sz w:val="24"/>
                <w:szCs w:val="24"/>
              </w:rPr>
            </w:pPr>
            <w:r w:rsidRPr="007C3C1B">
              <w:rPr>
                <w:rFonts w:ascii="Verdana" w:hAnsi="Verdana"/>
                <w:sz w:val="24"/>
                <w:szCs w:val="24"/>
              </w:rPr>
              <w:t>(A) discourse-based mathematics classroom provides stronger access for each and every student – those who have immediate ideas on ways to approach solving problems, those who need more time to grapple with ideas and develop a reasoned approach, as well as those who have faulty reasoning or misconception. (p. 177)</w:t>
            </w:r>
          </w:p>
          <w:p w:rsidR="007C3C1B" w:rsidRDefault="007C3C1B" w:rsidP="007C3C1B">
            <w:pPr>
              <w:rPr>
                <w:rFonts w:ascii="Verdana" w:hAnsi="Verdana"/>
                <w:bCs/>
                <w:sz w:val="24"/>
                <w:szCs w:val="24"/>
              </w:rPr>
            </w:pPr>
          </w:p>
        </w:tc>
      </w:tr>
      <w:tr w:rsidR="007C3C1B" w:rsidTr="00F749B5">
        <w:trPr>
          <w:trHeight w:val="3514"/>
        </w:trPr>
        <w:tc>
          <w:tcPr>
            <w:tcW w:w="4907" w:type="dxa"/>
          </w:tcPr>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r>
              <w:rPr>
                <w:rFonts w:ascii="Verdana" w:hAnsi="Verdana"/>
                <w:bCs/>
                <w:sz w:val="24"/>
                <w:szCs w:val="24"/>
              </w:rPr>
              <w:t>Corner 2</w:t>
            </w:r>
          </w:p>
          <w:p w:rsidR="007C3C1B" w:rsidRDefault="007C3C1B" w:rsidP="00055DC3">
            <w:pPr>
              <w:rPr>
                <w:rFonts w:ascii="Verdana" w:hAnsi="Verdana"/>
                <w:bCs/>
                <w:sz w:val="24"/>
                <w:szCs w:val="24"/>
              </w:rPr>
            </w:pPr>
          </w:p>
          <w:p w:rsidR="008E485D" w:rsidRDefault="007C3C1B" w:rsidP="007C3C1B">
            <w:pPr>
              <w:rPr>
                <w:rFonts w:ascii="Verdana" w:hAnsi="Verdana"/>
                <w:sz w:val="24"/>
                <w:szCs w:val="24"/>
              </w:rPr>
            </w:pPr>
            <w:r w:rsidRPr="007C3C1B">
              <w:rPr>
                <w:rFonts w:ascii="Verdana" w:hAnsi="Verdana"/>
                <w:sz w:val="24"/>
                <w:szCs w:val="24"/>
              </w:rPr>
              <w:t>Another line of research on mathematics discourse has focused on the use of specific talk moves that teachers us</w:t>
            </w:r>
            <w:r w:rsidR="00DB3591">
              <w:rPr>
                <w:rFonts w:ascii="Verdana" w:hAnsi="Verdana"/>
                <w:sz w:val="24"/>
                <w:szCs w:val="24"/>
              </w:rPr>
              <w:t>e</w:t>
            </w:r>
            <w:r w:rsidRPr="007C3C1B">
              <w:rPr>
                <w:rFonts w:ascii="Verdana" w:hAnsi="Verdana"/>
                <w:sz w:val="24"/>
                <w:szCs w:val="24"/>
              </w:rPr>
              <w:t xml:space="preserve"> to support student in learning productive ways of talking in </w:t>
            </w:r>
            <w:r w:rsidR="008E485D">
              <w:rPr>
                <w:rFonts w:ascii="Verdana" w:hAnsi="Verdana"/>
                <w:sz w:val="24"/>
                <w:szCs w:val="24"/>
              </w:rPr>
              <w:t>mathematics classrooms</w:t>
            </w:r>
            <w:r w:rsidR="00DB7CF1">
              <w:rPr>
                <w:rFonts w:ascii="Verdana" w:hAnsi="Verdana"/>
                <w:sz w:val="24"/>
                <w:szCs w:val="24"/>
              </w:rPr>
              <w:t>. (p. 176)</w:t>
            </w:r>
          </w:p>
          <w:p w:rsidR="008E485D" w:rsidRDefault="008E485D" w:rsidP="007C3C1B">
            <w:pPr>
              <w:rPr>
                <w:rFonts w:ascii="Verdana" w:hAnsi="Verdana"/>
                <w:sz w:val="24"/>
                <w:szCs w:val="24"/>
              </w:rPr>
            </w:pPr>
          </w:p>
          <w:p w:rsidR="008E485D" w:rsidRPr="008E485D" w:rsidRDefault="008E485D" w:rsidP="007C3C1B">
            <w:pPr>
              <w:rPr>
                <w:rFonts w:ascii="Verdana" w:hAnsi="Verdana"/>
                <w:b/>
                <w:bCs/>
                <w:sz w:val="24"/>
                <w:szCs w:val="24"/>
                <w:u w:val="single"/>
              </w:rPr>
            </w:pPr>
          </w:p>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p>
        </w:tc>
        <w:tc>
          <w:tcPr>
            <w:tcW w:w="4753" w:type="dxa"/>
          </w:tcPr>
          <w:p w:rsidR="007C3C1B" w:rsidRDefault="007C3C1B" w:rsidP="00055DC3">
            <w:pPr>
              <w:rPr>
                <w:rFonts w:ascii="Verdana" w:hAnsi="Verdana"/>
                <w:bCs/>
                <w:sz w:val="24"/>
                <w:szCs w:val="24"/>
              </w:rPr>
            </w:pPr>
          </w:p>
          <w:p w:rsidR="007C3C1B" w:rsidRDefault="007C3C1B" w:rsidP="00055DC3">
            <w:pPr>
              <w:rPr>
                <w:rFonts w:ascii="Verdana" w:hAnsi="Verdana"/>
                <w:bCs/>
                <w:sz w:val="24"/>
                <w:szCs w:val="24"/>
              </w:rPr>
            </w:pPr>
            <w:r>
              <w:rPr>
                <w:rFonts w:ascii="Verdana" w:hAnsi="Verdana"/>
                <w:bCs/>
                <w:sz w:val="24"/>
                <w:szCs w:val="24"/>
              </w:rPr>
              <w:t>Corner 4</w:t>
            </w:r>
          </w:p>
          <w:p w:rsidR="007C3C1B" w:rsidRDefault="007C3C1B" w:rsidP="00055DC3">
            <w:pPr>
              <w:rPr>
                <w:rFonts w:ascii="Verdana" w:hAnsi="Verdana"/>
                <w:bCs/>
                <w:sz w:val="24"/>
                <w:szCs w:val="24"/>
              </w:rPr>
            </w:pPr>
          </w:p>
          <w:p w:rsidR="007C3C1B" w:rsidRPr="007C3C1B" w:rsidRDefault="007C3C1B" w:rsidP="007C3C1B">
            <w:pPr>
              <w:rPr>
                <w:rFonts w:ascii="Verdana" w:hAnsi="Verdana"/>
                <w:bCs/>
                <w:sz w:val="24"/>
                <w:szCs w:val="24"/>
              </w:rPr>
            </w:pPr>
            <w:r w:rsidRPr="007C3C1B">
              <w:rPr>
                <w:rFonts w:ascii="Verdana" w:hAnsi="Verdana"/>
                <w:sz w:val="24"/>
                <w:szCs w:val="24"/>
              </w:rPr>
              <w:t>Meaningful mathematics discourse has the potential to challenge spaces of marginality. (p. 177)</w:t>
            </w:r>
          </w:p>
          <w:p w:rsidR="007C3C1B" w:rsidRDefault="007C3C1B" w:rsidP="00055DC3">
            <w:pPr>
              <w:rPr>
                <w:rFonts w:ascii="Verdana" w:hAnsi="Verdana"/>
                <w:bCs/>
                <w:sz w:val="24"/>
                <w:szCs w:val="24"/>
              </w:rPr>
            </w:pPr>
          </w:p>
        </w:tc>
      </w:tr>
    </w:tbl>
    <w:p w:rsidR="007C3C1B" w:rsidRDefault="007C3C1B" w:rsidP="00055DC3">
      <w:pPr>
        <w:spacing w:after="0"/>
        <w:rPr>
          <w:rFonts w:ascii="Verdana" w:hAnsi="Verdana"/>
          <w:bCs/>
          <w:sz w:val="24"/>
          <w:szCs w:val="24"/>
        </w:rPr>
      </w:pPr>
    </w:p>
    <w:p w:rsidR="007C3C1B" w:rsidRDefault="007C3C1B" w:rsidP="00055DC3">
      <w:pPr>
        <w:spacing w:after="0"/>
        <w:rPr>
          <w:rFonts w:ascii="Verdana" w:hAnsi="Verdana"/>
          <w:bCs/>
          <w:sz w:val="24"/>
          <w:szCs w:val="24"/>
        </w:rPr>
      </w:pPr>
    </w:p>
    <w:p w:rsidR="007C3C1B" w:rsidRDefault="007C3C1B" w:rsidP="00055DC3">
      <w:pPr>
        <w:spacing w:after="0"/>
        <w:rPr>
          <w:rFonts w:ascii="Verdana" w:hAnsi="Verdana"/>
          <w:bCs/>
          <w:sz w:val="24"/>
          <w:szCs w:val="24"/>
        </w:rPr>
      </w:pPr>
    </w:p>
    <w:p w:rsidR="007C3C1B" w:rsidRDefault="007C3C1B" w:rsidP="00055DC3">
      <w:pPr>
        <w:spacing w:after="0"/>
        <w:rPr>
          <w:rFonts w:ascii="Verdana" w:hAnsi="Verdana"/>
          <w:bCs/>
          <w:sz w:val="24"/>
          <w:szCs w:val="24"/>
        </w:rPr>
      </w:pPr>
    </w:p>
    <w:p w:rsidR="007C3C1B" w:rsidRDefault="007C3C1B" w:rsidP="00055DC3">
      <w:pPr>
        <w:spacing w:after="0"/>
        <w:rPr>
          <w:rFonts w:ascii="Verdana" w:hAnsi="Verdana"/>
          <w:bCs/>
          <w:sz w:val="24"/>
          <w:szCs w:val="24"/>
        </w:rPr>
      </w:pPr>
    </w:p>
    <w:p w:rsidR="00F749B5" w:rsidRDefault="00F749B5" w:rsidP="00055DC3">
      <w:pPr>
        <w:spacing w:after="0"/>
        <w:rPr>
          <w:rFonts w:ascii="Verdana" w:hAnsi="Verdana"/>
          <w:bCs/>
          <w:sz w:val="24"/>
          <w:szCs w:val="24"/>
        </w:rPr>
      </w:pPr>
    </w:p>
    <w:p w:rsidR="00F749B5" w:rsidRDefault="00F749B5" w:rsidP="00055DC3">
      <w:pPr>
        <w:spacing w:after="0"/>
        <w:rPr>
          <w:rFonts w:ascii="Verdana" w:hAnsi="Verdana"/>
          <w:bCs/>
          <w:sz w:val="24"/>
          <w:szCs w:val="24"/>
        </w:rPr>
      </w:pPr>
    </w:p>
    <w:p w:rsidR="00F749B5" w:rsidRDefault="00F749B5" w:rsidP="00055DC3">
      <w:pPr>
        <w:spacing w:after="0"/>
        <w:rPr>
          <w:rFonts w:ascii="Verdana" w:hAnsi="Verdana"/>
          <w:bCs/>
          <w:sz w:val="24"/>
          <w:szCs w:val="24"/>
        </w:rPr>
      </w:pPr>
    </w:p>
    <w:p w:rsidR="00F749B5" w:rsidRDefault="00F749B5" w:rsidP="00055DC3">
      <w:pPr>
        <w:spacing w:after="0"/>
        <w:rPr>
          <w:rFonts w:ascii="Verdana" w:hAnsi="Verdana"/>
          <w:bCs/>
          <w:sz w:val="24"/>
          <w:szCs w:val="24"/>
        </w:rPr>
      </w:pPr>
    </w:p>
    <w:p w:rsidR="007C3C1B" w:rsidRDefault="007C3C1B" w:rsidP="00055DC3">
      <w:pPr>
        <w:spacing w:after="0"/>
        <w:rPr>
          <w:rFonts w:ascii="Verdana" w:hAnsi="Verdana"/>
          <w:bCs/>
          <w:sz w:val="24"/>
          <w:szCs w:val="24"/>
        </w:rPr>
      </w:pPr>
    </w:p>
    <w:p w:rsidR="00F749B5" w:rsidRPr="00F354EA" w:rsidRDefault="00F749B5" w:rsidP="00F749B5">
      <w:pPr>
        <w:spacing w:after="0"/>
        <w:jc w:val="center"/>
        <w:rPr>
          <w:rFonts w:ascii="Verdana" w:hAnsi="Verdana"/>
          <w:b/>
          <w:bCs/>
          <w:sz w:val="24"/>
          <w:szCs w:val="24"/>
          <w:u w:val="single"/>
        </w:rPr>
      </w:pPr>
      <w:r>
        <w:rPr>
          <w:rFonts w:ascii="Verdana" w:hAnsi="Verdana"/>
          <w:b/>
          <w:bCs/>
          <w:sz w:val="24"/>
          <w:szCs w:val="24"/>
          <w:u w:val="single"/>
        </w:rPr>
        <w:t>Module</w:t>
      </w:r>
      <w:r w:rsidR="008E485D">
        <w:rPr>
          <w:rFonts w:ascii="Verdana" w:hAnsi="Verdana"/>
          <w:b/>
          <w:bCs/>
          <w:sz w:val="24"/>
          <w:szCs w:val="24"/>
          <w:u w:val="single"/>
        </w:rPr>
        <w:t xml:space="preserve"> 2</w:t>
      </w:r>
      <w:r>
        <w:rPr>
          <w:rFonts w:ascii="Verdana" w:hAnsi="Verdana"/>
          <w:b/>
          <w:bCs/>
          <w:sz w:val="24"/>
          <w:szCs w:val="24"/>
          <w:u w:val="single"/>
        </w:rPr>
        <w:t xml:space="preserve">: </w:t>
      </w:r>
      <w:r w:rsidR="008E485D">
        <w:rPr>
          <w:rFonts w:ascii="Verdana" w:hAnsi="Verdana"/>
          <w:b/>
          <w:bCs/>
          <w:sz w:val="24"/>
          <w:szCs w:val="24"/>
          <w:u w:val="single"/>
        </w:rPr>
        <w:t>Purposeful Questions</w:t>
      </w:r>
    </w:p>
    <w:p w:rsidR="00F749B5" w:rsidRPr="00F354EA" w:rsidRDefault="00F749B5" w:rsidP="00F749B5">
      <w:pPr>
        <w:spacing w:after="0"/>
        <w:rPr>
          <w:rFonts w:ascii="Verdana" w:hAnsi="Verdana"/>
          <w:bCs/>
          <w:sz w:val="24"/>
          <w:szCs w:val="24"/>
        </w:rPr>
      </w:pPr>
    </w:p>
    <w:tbl>
      <w:tblPr>
        <w:tblStyle w:val="TableGrid"/>
        <w:tblW w:w="9660" w:type="dxa"/>
        <w:tblLook w:val="04A0" w:firstRow="1" w:lastRow="0" w:firstColumn="1" w:lastColumn="0" w:noHBand="0" w:noVBand="1"/>
      </w:tblPr>
      <w:tblGrid>
        <w:gridCol w:w="4907"/>
        <w:gridCol w:w="4753"/>
      </w:tblGrid>
      <w:tr w:rsidR="00F749B5" w:rsidTr="00352AA3">
        <w:trPr>
          <w:trHeight w:val="505"/>
        </w:trPr>
        <w:tc>
          <w:tcPr>
            <w:tcW w:w="4907" w:type="dxa"/>
            <w:shd w:val="clear" w:color="auto" w:fill="E7E6E6" w:themeFill="background2"/>
          </w:tcPr>
          <w:p w:rsidR="00F749B5" w:rsidRPr="007C3C1B" w:rsidRDefault="00F749B5" w:rsidP="00B06DBB">
            <w:pPr>
              <w:jc w:val="center"/>
              <w:rPr>
                <w:rFonts w:ascii="Verdana" w:hAnsi="Verdana"/>
                <w:b/>
                <w:bCs/>
                <w:i/>
                <w:sz w:val="24"/>
                <w:szCs w:val="24"/>
              </w:rPr>
            </w:pPr>
            <w:r w:rsidRPr="007C3C1B">
              <w:rPr>
                <w:rFonts w:ascii="Verdana" w:hAnsi="Verdana"/>
                <w:b/>
                <w:bCs/>
                <w:i/>
                <w:sz w:val="24"/>
                <w:szCs w:val="24"/>
              </w:rPr>
              <w:t>What does the research say about this practice?</w:t>
            </w:r>
          </w:p>
        </w:tc>
        <w:tc>
          <w:tcPr>
            <w:tcW w:w="4753" w:type="dxa"/>
            <w:shd w:val="clear" w:color="auto" w:fill="E7E6E6" w:themeFill="background2"/>
          </w:tcPr>
          <w:p w:rsidR="00F749B5" w:rsidRPr="007C3C1B" w:rsidRDefault="00F749B5" w:rsidP="00B06DBB">
            <w:pPr>
              <w:jc w:val="center"/>
              <w:rPr>
                <w:rFonts w:ascii="Verdana" w:hAnsi="Verdana"/>
                <w:b/>
                <w:bCs/>
                <w:i/>
                <w:sz w:val="24"/>
                <w:szCs w:val="24"/>
              </w:rPr>
            </w:pPr>
            <w:r w:rsidRPr="007C3C1B">
              <w:rPr>
                <w:rFonts w:ascii="Verdana" w:hAnsi="Verdana"/>
                <w:b/>
                <w:bCs/>
                <w:i/>
                <w:sz w:val="24"/>
                <w:szCs w:val="24"/>
              </w:rPr>
              <w:t>How does this practice promote e</w:t>
            </w:r>
            <w:r w:rsidR="008E485D">
              <w:rPr>
                <w:rFonts w:ascii="Verdana" w:hAnsi="Verdana"/>
                <w:b/>
                <w:bCs/>
                <w:i/>
                <w:sz w:val="24"/>
                <w:szCs w:val="24"/>
              </w:rPr>
              <w:t>quitable instruction</w:t>
            </w:r>
            <w:r w:rsidRPr="007C3C1B">
              <w:rPr>
                <w:rFonts w:ascii="Verdana" w:hAnsi="Verdana"/>
                <w:b/>
                <w:bCs/>
                <w:i/>
                <w:sz w:val="24"/>
                <w:szCs w:val="24"/>
              </w:rPr>
              <w:t>?</w:t>
            </w:r>
          </w:p>
        </w:tc>
      </w:tr>
      <w:tr w:rsidR="00F749B5" w:rsidTr="00B06DBB">
        <w:trPr>
          <w:trHeight w:val="3264"/>
        </w:trPr>
        <w:tc>
          <w:tcPr>
            <w:tcW w:w="4907" w:type="dxa"/>
          </w:tcPr>
          <w:p w:rsidR="00F749B5" w:rsidRDefault="00F749B5" w:rsidP="00B06DBB">
            <w:pPr>
              <w:rPr>
                <w:rFonts w:ascii="Verdana" w:hAnsi="Verdana"/>
                <w:bCs/>
                <w:sz w:val="24"/>
                <w:szCs w:val="24"/>
              </w:rPr>
            </w:pPr>
          </w:p>
          <w:p w:rsidR="00F749B5" w:rsidRDefault="00F749B5" w:rsidP="00B06DBB">
            <w:pPr>
              <w:rPr>
                <w:rFonts w:ascii="Verdana" w:hAnsi="Verdana"/>
                <w:bCs/>
                <w:sz w:val="24"/>
                <w:szCs w:val="24"/>
              </w:rPr>
            </w:pPr>
            <w:r>
              <w:rPr>
                <w:rFonts w:ascii="Verdana" w:hAnsi="Verdana"/>
                <w:bCs/>
                <w:sz w:val="24"/>
                <w:szCs w:val="24"/>
              </w:rPr>
              <w:t>Corner 1</w:t>
            </w:r>
          </w:p>
          <w:p w:rsidR="00F749B5" w:rsidRDefault="00F749B5" w:rsidP="00B06DBB">
            <w:pPr>
              <w:rPr>
                <w:rFonts w:ascii="Verdana" w:hAnsi="Verdana"/>
                <w:sz w:val="24"/>
                <w:szCs w:val="24"/>
              </w:rPr>
            </w:pPr>
          </w:p>
          <w:p w:rsidR="00382CD7" w:rsidRPr="00382CD7" w:rsidRDefault="00382CD7" w:rsidP="00382CD7">
            <w:pPr>
              <w:rPr>
                <w:rFonts w:ascii="Verdana" w:hAnsi="Verdana"/>
                <w:bCs/>
                <w:sz w:val="24"/>
                <w:szCs w:val="24"/>
              </w:rPr>
            </w:pPr>
            <w:r w:rsidRPr="00382CD7">
              <w:rPr>
                <w:rFonts w:ascii="Verdana" w:hAnsi="Verdana"/>
                <w:sz w:val="24"/>
                <w:szCs w:val="24"/>
              </w:rPr>
              <w:t>Questions</w:t>
            </w:r>
            <w:r w:rsidRPr="00382CD7">
              <w:rPr>
                <w:rFonts w:ascii="Verdana" w:hAnsi="Verdana"/>
                <w:bCs/>
                <w:sz w:val="24"/>
                <w:szCs w:val="24"/>
              </w:rPr>
              <w:t xml:space="preserve"> are often seen as the main tool</w:t>
            </w:r>
            <w:bookmarkStart w:id="0" w:name="_GoBack"/>
            <w:bookmarkEnd w:id="0"/>
            <w:r w:rsidRPr="00382CD7">
              <w:rPr>
                <w:rFonts w:ascii="Verdana" w:hAnsi="Verdana"/>
                <w:bCs/>
                <w:sz w:val="24"/>
                <w:szCs w:val="24"/>
              </w:rPr>
              <w:t xml:space="preserve"> that teachers have to prompt and scaffold student learning in mathematics. (p. 113)</w:t>
            </w:r>
          </w:p>
          <w:p w:rsidR="00F749B5" w:rsidRDefault="00F749B5" w:rsidP="00B06DBB">
            <w:pPr>
              <w:rPr>
                <w:rFonts w:ascii="Verdana" w:hAnsi="Verdana"/>
                <w:bCs/>
                <w:sz w:val="24"/>
                <w:szCs w:val="24"/>
              </w:rPr>
            </w:pPr>
          </w:p>
        </w:tc>
        <w:tc>
          <w:tcPr>
            <w:tcW w:w="4753" w:type="dxa"/>
          </w:tcPr>
          <w:p w:rsidR="00F749B5" w:rsidRDefault="00F749B5" w:rsidP="00B06DBB">
            <w:pPr>
              <w:rPr>
                <w:rFonts w:ascii="Verdana" w:hAnsi="Verdana"/>
                <w:bCs/>
                <w:sz w:val="24"/>
                <w:szCs w:val="24"/>
              </w:rPr>
            </w:pPr>
          </w:p>
          <w:p w:rsidR="00382CD7" w:rsidRDefault="00382CD7" w:rsidP="00382CD7">
            <w:pPr>
              <w:rPr>
                <w:rFonts w:ascii="Verdana" w:hAnsi="Verdana"/>
                <w:bCs/>
                <w:sz w:val="24"/>
                <w:szCs w:val="24"/>
              </w:rPr>
            </w:pPr>
            <w:r>
              <w:rPr>
                <w:rFonts w:ascii="Verdana" w:hAnsi="Verdana"/>
                <w:bCs/>
                <w:sz w:val="24"/>
                <w:szCs w:val="24"/>
              </w:rPr>
              <w:t>Corner 3</w:t>
            </w:r>
          </w:p>
          <w:p w:rsidR="00382CD7" w:rsidRDefault="00382CD7" w:rsidP="00382CD7">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By eliciting and valuing the thinking of each and every student, teachers can work toward building identify and agency within students as capable individuals in leaning and using mathematics to solve problems. (p. 116)</w:t>
            </w:r>
          </w:p>
          <w:p w:rsidR="00F749B5" w:rsidRDefault="00F749B5" w:rsidP="00B06DBB">
            <w:pPr>
              <w:rPr>
                <w:rFonts w:ascii="Verdana" w:hAnsi="Verdana"/>
                <w:bCs/>
                <w:sz w:val="24"/>
                <w:szCs w:val="24"/>
              </w:rPr>
            </w:pPr>
          </w:p>
        </w:tc>
      </w:tr>
      <w:tr w:rsidR="00F749B5" w:rsidTr="00B06DBB">
        <w:trPr>
          <w:trHeight w:val="3514"/>
        </w:trPr>
        <w:tc>
          <w:tcPr>
            <w:tcW w:w="4907" w:type="dxa"/>
          </w:tcPr>
          <w:p w:rsidR="00F749B5" w:rsidRDefault="00F749B5" w:rsidP="00B06DBB">
            <w:pPr>
              <w:rPr>
                <w:rFonts w:ascii="Verdana" w:hAnsi="Verdana"/>
                <w:bCs/>
                <w:sz w:val="24"/>
                <w:szCs w:val="24"/>
              </w:rPr>
            </w:pPr>
          </w:p>
          <w:p w:rsidR="00F749B5" w:rsidRDefault="00F749B5" w:rsidP="00B06DBB">
            <w:pPr>
              <w:rPr>
                <w:rFonts w:ascii="Verdana" w:hAnsi="Verdana"/>
                <w:bCs/>
                <w:sz w:val="24"/>
                <w:szCs w:val="24"/>
              </w:rPr>
            </w:pPr>
            <w:r>
              <w:rPr>
                <w:rFonts w:ascii="Verdana" w:hAnsi="Verdana"/>
                <w:bCs/>
                <w:sz w:val="24"/>
                <w:szCs w:val="24"/>
              </w:rPr>
              <w:t>Corner 2</w:t>
            </w:r>
          </w:p>
          <w:p w:rsidR="00F749B5" w:rsidRDefault="00F749B5" w:rsidP="00B06DBB">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It is important to note that it is not just the asking of questions that makes the difference in student learning but rather the verbalization by students in response to the those questions. (p. 113)</w:t>
            </w:r>
          </w:p>
          <w:p w:rsidR="00F749B5" w:rsidRDefault="00F749B5" w:rsidP="00B06DBB">
            <w:pPr>
              <w:rPr>
                <w:rFonts w:ascii="Verdana" w:hAnsi="Verdana"/>
                <w:bCs/>
                <w:sz w:val="24"/>
                <w:szCs w:val="24"/>
              </w:rPr>
            </w:pPr>
          </w:p>
          <w:p w:rsidR="00F749B5" w:rsidRDefault="00F749B5" w:rsidP="00B06DBB">
            <w:pPr>
              <w:rPr>
                <w:rFonts w:ascii="Verdana" w:hAnsi="Verdana"/>
                <w:bCs/>
                <w:sz w:val="24"/>
                <w:szCs w:val="24"/>
              </w:rPr>
            </w:pPr>
          </w:p>
          <w:p w:rsidR="00F749B5" w:rsidRDefault="00F749B5" w:rsidP="00B06DBB">
            <w:pPr>
              <w:rPr>
                <w:rFonts w:ascii="Verdana" w:hAnsi="Verdana"/>
                <w:bCs/>
                <w:sz w:val="24"/>
                <w:szCs w:val="24"/>
              </w:rPr>
            </w:pPr>
          </w:p>
        </w:tc>
        <w:tc>
          <w:tcPr>
            <w:tcW w:w="4753" w:type="dxa"/>
          </w:tcPr>
          <w:p w:rsidR="00F749B5" w:rsidRDefault="00F749B5" w:rsidP="00B06DBB">
            <w:pPr>
              <w:rPr>
                <w:rFonts w:ascii="Verdana" w:hAnsi="Verdana"/>
                <w:bCs/>
                <w:sz w:val="24"/>
                <w:szCs w:val="24"/>
              </w:rPr>
            </w:pPr>
          </w:p>
          <w:p w:rsidR="00F749B5" w:rsidRDefault="00F749B5" w:rsidP="00B06DBB">
            <w:pPr>
              <w:rPr>
                <w:rFonts w:ascii="Verdana" w:hAnsi="Verdana"/>
                <w:bCs/>
                <w:sz w:val="24"/>
                <w:szCs w:val="24"/>
              </w:rPr>
            </w:pPr>
            <w:r>
              <w:rPr>
                <w:rFonts w:ascii="Verdana" w:hAnsi="Verdana"/>
                <w:bCs/>
                <w:sz w:val="24"/>
                <w:szCs w:val="24"/>
              </w:rPr>
              <w:t>Corner 4</w:t>
            </w:r>
          </w:p>
          <w:p w:rsidR="00F749B5" w:rsidRDefault="00F749B5" w:rsidP="00B06DBB">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Putting one’s mathematical ideas and strategies into public view for examination can put students in vulnerable positions as related to issues of power and status structure among students in the classroom. (</w:t>
            </w:r>
            <w:r>
              <w:rPr>
                <w:rFonts w:ascii="Verdana" w:hAnsi="Verdana"/>
                <w:bCs/>
                <w:sz w:val="24"/>
                <w:szCs w:val="24"/>
              </w:rPr>
              <w:t xml:space="preserve">p. </w:t>
            </w:r>
            <w:r w:rsidRPr="00382CD7">
              <w:rPr>
                <w:rFonts w:ascii="Verdana" w:hAnsi="Verdana"/>
                <w:bCs/>
                <w:sz w:val="24"/>
                <w:szCs w:val="24"/>
              </w:rPr>
              <w:t>116)</w:t>
            </w:r>
          </w:p>
          <w:p w:rsidR="00F749B5" w:rsidRDefault="00F749B5" w:rsidP="00B06DBB">
            <w:pPr>
              <w:rPr>
                <w:rFonts w:ascii="Verdana" w:hAnsi="Verdana"/>
                <w:bCs/>
                <w:sz w:val="24"/>
                <w:szCs w:val="24"/>
              </w:rPr>
            </w:pPr>
          </w:p>
        </w:tc>
      </w:tr>
    </w:tbl>
    <w:p w:rsidR="00382CD7" w:rsidRDefault="00382CD7" w:rsidP="00055DC3">
      <w:pPr>
        <w:spacing w:after="0"/>
        <w:rPr>
          <w:rFonts w:ascii="Verdana" w:hAnsi="Verdana"/>
          <w:b/>
          <w:bCs/>
          <w:sz w:val="24"/>
          <w:szCs w:val="24"/>
          <w:u w:val="single"/>
        </w:rPr>
      </w:pPr>
    </w:p>
    <w:p w:rsidR="00382CD7" w:rsidRDefault="00382CD7" w:rsidP="00055DC3">
      <w:pPr>
        <w:spacing w:after="0"/>
        <w:rPr>
          <w:rFonts w:ascii="Verdana" w:hAnsi="Verdana"/>
          <w:b/>
          <w:bCs/>
          <w:sz w:val="24"/>
          <w:szCs w:val="24"/>
          <w:u w:val="single"/>
        </w:rPr>
      </w:pPr>
    </w:p>
    <w:p w:rsidR="00916A6C" w:rsidRPr="00F354EA" w:rsidRDefault="00916A6C" w:rsidP="00055DC3">
      <w:pPr>
        <w:spacing w:after="0"/>
        <w:rPr>
          <w:rFonts w:ascii="Verdana" w:hAnsi="Verdana"/>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Default="00382CD7" w:rsidP="00055DC3">
      <w:pPr>
        <w:spacing w:after="0"/>
        <w:rPr>
          <w:rFonts w:ascii="Verdana" w:hAnsi="Verdana"/>
          <w:b/>
          <w:sz w:val="24"/>
          <w:szCs w:val="24"/>
          <w:u w:val="single"/>
        </w:rPr>
      </w:pPr>
    </w:p>
    <w:p w:rsidR="00382CD7" w:rsidRPr="00F354EA" w:rsidRDefault="00382CD7" w:rsidP="00382CD7">
      <w:pPr>
        <w:spacing w:after="0"/>
        <w:jc w:val="center"/>
        <w:rPr>
          <w:rFonts w:ascii="Verdana" w:hAnsi="Verdana"/>
          <w:b/>
          <w:sz w:val="24"/>
          <w:szCs w:val="24"/>
          <w:u w:val="single"/>
        </w:rPr>
      </w:pPr>
      <w:r>
        <w:rPr>
          <w:rFonts w:ascii="Verdana" w:hAnsi="Verdana"/>
          <w:b/>
          <w:bCs/>
          <w:sz w:val="24"/>
          <w:szCs w:val="24"/>
          <w:u w:val="single"/>
        </w:rPr>
        <w:t>Module</w:t>
      </w:r>
      <w:r w:rsidR="00DB7CF1">
        <w:rPr>
          <w:rFonts w:ascii="Verdana" w:hAnsi="Verdana"/>
          <w:b/>
          <w:bCs/>
          <w:sz w:val="24"/>
          <w:szCs w:val="24"/>
          <w:u w:val="single"/>
        </w:rPr>
        <w:t xml:space="preserve"> 3</w:t>
      </w:r>
      <w:r>
        <w:rPr>
          <w:rFonts w:ascii="Verdana" w:hAnsi="Verdana"/>
          <w:b/>
          <w:bCs/>
          <w:sz w:val="24"/>
          <w:szCs w:val="24"/>
          <w:u w:val="single"/>
        </w:rPr>
        <w:t xml:space="preserve">: </w:t>
      </w:r>
      <w:r w:rsidRPr="00F354EA">
        <w:rPr>
          <w:rFonts w:ascii="Verdana" w:hAnsi="Verdana"/>
          <w:b/>
          <w:sz w:val="24"/>
          <w:szCs w:val="24"/>
          <w:u w:val="single"/>
        </w:rPr>
        <w:t>Elicit and Use Evidence of Student Thinking</w:t>
      </w:r>
    </w:p>
    <w:p w:rsidR="00382CD7" w:rsidRPr="00F354EA" w:rsidRDefault="00382CD7" w:rsidP="00382CD7">
      <w:pPr>
        <w:spacing w:after="0"/>
        <w:rPr>
          <w:rFonts w:ascii="Verdana" w:hAnsi="Verdana"/>
          <w:bCs/>
          <w:sz w:val="24"/>
          <w:szCs w:val="24"/>
        </w:rPr>
      </w:pPr>
    </w:p>
    <w:tbl>
      <w:tblPr>
        <w:tblStyle w:val="TableGrid"/>
        <w:tblW w:w="9660" w:type="dxa"/>
        <w:tblLook w:val="04A0" w:firstRow="1" w:lastRow="0" w:firstColumn="1" w:lastColumn="0" w:noHBand="0" w:noVBand="1"/>
      </w:tblPr>
      <w:tblGrid>
        <w:gridCol w:w="4907"/>
        <w:gridCol w:w="4753"/>
      </w:tblGrid>
      <w:tr w:rsidR="00382CD7" w:rsidTr="00352AA3">
        <w:trPr>
          <w:trHeight w:val="505"/>
        </w:trPr>
        <w:tc>
          <w:tcPr>
            <w:tcW w:w="4907" w:type="dxa"/>
            <w:shd w:val="clear" w:color="auto" w:fill="E7E6E6" w:themeFill="background2"/>
          </w:tcPr>
          <w:p w:rsidR="00382CD7" w:rsidRPr="007C3C1B" w:rsidRDefault="00382CD7" w:rsidP="00B06DBB">
            <w:pPr>
              <w:jc w:val="center"/>
              <w:rPr>
                <w:rFonts w:ascii="Verdana" w:hAnsi="Verdana"/>
                <w:b/>
                <w:bCs/>
                <w:i/>
                <w:sz w:val="24"/>
                <w:szCs w:val="24"/>
              </w:rPr>
            </w:pPr>
            <w:r w:rsidRPr="007C3C1B">
              <w:rPr>
                <w:rFonts w:ascii="Verdana" w:hAnsi="Verdana"/>
                <w:b/>
                <w:bCs/>
                <w:i/>
                <w:sz w:val="24"/>
                <w:szCs w:val="24"/>
              </w:rPr>
              <w:t>What does the research say about this practice?</w:t>
            </w:r>
          </w:p>
        </w:tc>
        <w:tc>
          <w:tcPr>
            <w:tcW w:w="4753" w:type="dxa"/>
            <w:shd w:val="clear" w:color="auto" w:fill="E7E6E6" w:themeFill="background2"/>
          </w:tcPr>
          <w:p w:rsidR="00382CD7" w:rsidRPr="007C3C1B" w:rsidRDefault="00382CD7" w:rsidP="00B06DBB">
            <w:pPr>
              <w:jc w:val="center"/>
              <w:rPr>
                <w:rFonts w:ascii="Verdana" w:hAnsi="Verdana"/>
                <w:b/>
                <w:bCs/>
                <w:i/>
                <w:sz w:val="24"/>
                <w:szCs w:val="24"/>
              </w:rPr>
            </w:pPr>
            <w:r w:rsidRPr="007C3C1B">
              <w:rPr>
                <w:rFonts w:ascii="Verdana" w:hAnsi="Verdana"/>
                <w:b/>
                <w:bCs/>
                <w:i/>
                <w:sz w:val="24"/>
                <w:szCs w:val="24"/>
              </w:rPr>
              <w:t>How does this practice promote e</w:t>
            </w:r>
            <w:r>
              <w:rPr>
                <w:rFonts w:ascii="Verdana" w:hAnsi="Verdana"/>
                <w:b/>
                <w:bCs/>
                <w:i/>
                <w:sz w:val="24"/>
                <w:szCs w:val="24"/>
              </w:rPr>
              <w:t>quitable instruction</w:t>
            </w:r>
            <w:r w:rsidRPr="007C3C1B">
              <w:rPr>
                <w:rFonts w:ascii="Verdana" w:hAnsi="Verdana"/>
                <w:b/>
                <w:bCs/>
                <w:i/>
                <w:sz w:val="24"/>
                <w:szCs w:val="24"/>
              </w:rPr>
              <w:t>?</w:t>
            </w:r>
          </w:p>
        </w:tc>
      </w:tr>
      <w:tr w:rsidR="00382CD7" w:rsidTr="00B06DBB">
        <w:trPr>
          <w:trHeight w:val="3264"/>
        </w:trPr>
        <w:tc>
          <w:tcPr>
            <w:tcW w:w="4907" w:type="dxa"/>
          </w:tcPr>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r>
              <w:rPr>
                <w:rFonts w:ascii="Verdana" w:hAnsi="Verdana"/>
                <w:bCs/>
                <w:sz w:val="24"/>
                <w:szCs w:val="24"/>
              </w:rPr>
              <w:t>Corner 1</w:t>
            </w:r>
          </w:p>
          <w:p w:rsidR="00382CD7" w:rsidRDefault="00382CD7" w:rsidP="00B06DBB">
            <w:pPr>
              <w:rPr>
                <w:rFonts w:ascii="Verdana" w:hAnsi="Verdana"/>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Teachers who consistently elicit student thinking during a lesson are better able to meet their students’ learning needs by using that evidence to adapt their instruction. (</w:t>
            </w:r>
            <w:r>
              <w:rPr>
                <w:rFonts w:ascii="Verdana" w:hAnsi="Verdana"/>
                <w:bCs/>
                <w:sz w:val="24"/>
                <w:szCs w:val="24"/>
              </w:rPr>
              <w:t xml:space="preserve">p. </w:t>
            </w:r>
            <w:r w:rsidRPr="00382CD7">
              <w:rPr>
                <w:rFonts w:ascii="Verdana" w:hAnsi="Verdana"/>
                <w:bCs/>
                <w:sz w:val="24"/>
                <w:szCs w:val="24"/>
              </w:rPr>
              <w:t>207)</w:t>
            </w:r>
          </w:p>
          <w:p w:rsidR="00382CD7" w:rsidRDefault="00382CD7" w:rsidP="00B06DBB">
            <w:pPr>
              <w:rPr>
                <w:rFonts w:ascii="Verdana" w:hAnsi="Verdana"/>
                <w:bCs/>
                <w:sz w:val="24"/>
                <w:szCs w:val="24"/>
              </w:rPr>
            </w:pPr>
          </w:p>
        </w:tc>
        <w:tc>
          <w:tcPr>
            <w:tcW w:w="4753" w:type="dxa"/>
          </w:tcPr>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r>
              <w:rPr>
                <w:rFonts w:ascii="Verdana" w:hAnsi="Verdana"/>
                <w:bCs/>
                <w:sz w:val="24"/>
                <w:szCs w:val="24"/>
              </w:rPr>
              <w:t>Corner 3</w:t>
            </w:r>
          </w:p>
          <w:p w:rsidR="00382CD7" w:rsidRDefault="00382CD7" w:rsidP="00B06DBB">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Whose work gets selected and discussed during a lesson sends important messages to students about the solutions paths that are valued and valid. (p. 209)</w:t>
            </w:r>
          </w:p>
          <w:p w:rsidR="00382CD7" w:rsidRDefault="00382CD7" w:rsidP="00B06DBB">
            <w:pPr>
              <w:rPr>
                <w:rFonts w:ascii="Verdana" w:hAnsi="Verdana"/>
                <w:bCs/>
                <w:sz w:val="24"/>
                <w:szCs w:val="24"/>
              </w:rPr>
            </w:pPr>
          </w:p>
        </w:tc>
      </w:tr>
      <w:tr w:rsidR="00382CD7" w:rsidTr="00B06DBB">
        <w:trPr>
          <w:trHeight w:val="3514"/>
        </w:trPr>
        <w:tc>
          <w:tcPr>
            <w:tcW w:w="4907" w:type="dxa"/>
          </w:tcPr>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r>
              <w:rPr>
                <w:rFonts w:ascii="Verdana" w:hAnsi="Verdana"/>
                <w:bCs/>
                <w:sz w:val="24"/>
                <w:szCs w:val="24"/>
              </w:rPr>
              <w:t>Corner 2</w:t>
            </w:r>
          </w:p>
          <w:p w:rsidR="00382CD7" w:rsidRDefault="00382CD7" w:rsidP="00B06DBB">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Formative assessment is an essentially interactive process, in which the teacher can find out whether what has been taught has been learned and if not to do something about it. (p.</w:t>
            </w:r>
            <w:r w:rsidR="00DB7CF1">
              <w:rPr>
                <w:rFonts w:ascii="Verdana" w:hAnsi="Verdana"/>
                <w:bCs/>
                <w:sz w:val="24"/>
                <w:szCs w:val="24"/>
              </w:rPr>
              <w:t xml:space="preserve"> </w:t>
            </w:r>
            <w:r w:rsidRPr="00382CD7">
              <w:rPr>
                <w:rFonts w:ascii="Verdana" w:hAnsi="Verdana"/>
                <w:bCs/>
                <w:sz w:val="24"/>
                <w:szCs w:val="24"/>
              </w:rPr>
              <w:t>207)</w:t>
            </w:r>
          </w:p>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p>
        </w:tc>
        <w:tc>
          <w:tcPr>
            <w:tcW w:w="4753" w:type="dxa"/>
          </w:tcPr>
          <w:p w:rsidR="00382CD7" w:rsidRDefault="00382CD7" w:rsidP="00B06DBB">
            <w:pPr>
              <w:rPr>
                <w:rFonts w:ascii="Verdana" w:hAnsi="Verdana"/>
                <w:bCs/>
                <w:sz w:val="24"/>
                <w:szCs w:val="24"/>
              </w:rPr>
            </w:pPr>
          </w:p>
          <w:p w:rsidR="00382CD7" w:rsidRDefault="00382CD7" w:rsidP="00B06DBB">
            <w:pPr>
              <w:rPr>
                <w:rFonts w:ascii="Verdana" w:hAnsi="Verdana"/>
                <w:bCs/>
                <w:sz w:val="24"/>
                <w:szCs w:val="24"/>
              </w:rPr>
            </w:pPr>
            <w:r>
              <w:rPr>
                <w:rFonts w:ascii="Verdana" w:hAnsi="Verdana"/>
                <w:bCs/>
                <w:sz w:val="24"/>
                <w:szCs w:val="24"/>
              </w:rPr>
              <w:t>Corner 4</w:t>
            </w:r>
          </w:p>
          <w:p w:rsidR="00382CD7" w:rsidRDefault="00382CD7" w:rsidP="00B06DBB">
            <w:pPr>
              <w:rPr>
                <w:rFonts w:ascii="Verdana" w:hAnsi="Verdana"/>
                <w:bCs/>
                <w:sz w:val="24"/>
                <w:szCs w:val="24"/>
              </w:rPr>
            </w:pPr>
          </w:p>
          <w:p w:rsidR="00382CD7" w:rsidRPr="00382CD7" w:rsidRDefault="00382CD7" w:rsidP="00382CD7">
            <w:pPr>
              <w:rPr>
                <w:rFonts w:ascii="Verdana" w:hAnsi="Verdana"/>
                <w:bCs/>
                <w:sz w:val="24"/>
                <w:szCs w:val="24"/>
              </w:rPr>
            </w:pPr>
            <w:r w:rsidRPr="00382CD7">
              <w:rPr>
                <w:rFonts w:ascii="Verdana" w:hAnsi="Verdana"/>
                <w:bCs/>
                <w:sz w:val="24"/>
                <w:szCs w:val="24"/>
              </w:rPr>
              <w:t>Promoting a classroom culture in which mistakes or errors are viewed as important reasoning opportunities can encourage a wider range of students to engage in mathematical discussions with their peers and the teacher. (p. 209)</w:t>
            </w:r>
          </w:p>
          <w:p w:rsidR="00382CD7" w:rsidRDefault="00382CD7" w:rsidP="00B06DBB">
            <w:pPr>
              <w:rPr>
                <w:rFonts w:ascii="Verdana" w:hAnsi="Verdana"/>
                <w:bCs/>
                <w:sz w:val="24"/>
                <w:szCs w:val="24"/>
              </w:rPr>
            </w:pPr>
          </w:p>
        </w:tc>
      </w:tr>
    </w:tbl>
    <w:p w:rsidR="00382CD7" w:rsidRDefault="00382CD7" w:rsidP="00055DC3">
      <w:pPr>
        <w:spacing w:after="0"/>
        <w:rPr>
          <w:rFonts w:ascii="Verdana" w:hAnsi="Verdana"/>
          <w:b/>
          <w:sz w:val="24"/>
          <w:szCs w:val="24"/>
          <w:u w:val="single"/>
        </w:rPr>
      </w:pPr>
    </w:p>
    <w:p w:rsidR="00382CD7" w:rsidRDefault="00352AA3" w:rsidP="00055DC3">
      <w:pPr>
        <w:spacing w:after="0"/>
        <w:rPr>
          <w:rFonts w:ascii="Verdana" w:hAnsi="Verdana"/>
          <w:b/>
          <w:sz w:val="24"/>
          <w:szCs w:val="24"/>
          <w:u w:val="single"/>
        </w:rPr>
      </w:pPr>
      <w:r w:rsidRPr="009F2525">
        <w:rPr>
          <w:noProof/>
        </w:rPr>
        <mc:AlternateContent>
          <mc:Choice Requires="wps">
            <w:drawing>
              <wp:anchor distT="0" distB="0" distL="114300" distR="114300" simplePos="0" relativeHeight="251659264" behindDoc="0" locked="0" layoutInCell="1" allowOverlap="1" wp14:anchorId="29DC75E3" wp14:editId="09A348E7">
                <wp:simplePos x="0" y="0"/>
                <wp:positionH relativeFrom="column">
                  <wp:posOffset>-57150</wp:posOffset>
                </wp:positionH>
                <wp:positionV relativeFrom="paragraph">
                  <wp:posOffset>158750</wp:posOffset>
                </wp:positionV>
                <wp:extent cx="6524625" cy="523220"/>
                <wp:effectExtent l="0" t="0" r="0" b="0"/>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AA3" w:rsidRPr="009F2525" w:rsidRDefault="00352AA3" w:rsidP="00352AA3">
                            <w:pPr>
                              <w:pStyle w:val="NormalWeb"/>
                              <w:spacing w:before="0" w:beforeAutospacing="0" w:after="0" w:afterAutospacing="0"/>
                              <w:rPr>
                                <w:sz w:val="22"/>
                              </w:rPr>
                            </w:pPr>
                            <w:r w:rsidRPr="009F2525">
                              <w:rPr>
                                <w:rFonts w:ascii="Calibri" w:hAnsi="Calibri" w:cstheme="minorBidi"/>
                                <w:color w:val="000000" w:themeColor="text1"/>
                                <w:kern w:val="24"/>
                                <w:szCs w:val="28"/>
                              </w:rPr>
                              <w:t>Adapted f</w:t>
                            </w:r>
                            <w:r>
                              <w:rPr>
                                <w:rFonts w:ascii="Calibri" w:hAnsi="Calibri" w:cstheme="minorBidi"/>
                                <w:color w:val="000000" w:themeColor="text1"/>
                                <w:kern w:val="24"/>
                                <w:szCs w:val="28"/>
                              </w:rPr>
                              <w:t>rom Smith, M. S., et al. (2017)</w:t>
                            </w:r>
                            <w:r w:rsidRPr="009F2525">
                              <w:rPr>
                                <w:rFonts w:ascii="Calibri" w:hAnsi="Calibri" w:cstheme="minorBidi"/>
                                <w:color w:val="000000" w:themeColor="text1"/>
                                <w:kern w:val="24"/>
                                <w:szCs w:val="28"/>
                              </w:rPr>
                              <w:t xml:space="preserve"> </w:t>
                            </w:r>
                            <w:r w:rsidRPr="009F2525">
                              <w:rPr>
                                <w:rFonts w:ascii="Calibri" w:hAnsi="Calibri" w:cstheme="minorBidi"/>
                                <w:i/>
                                <w:iCs/>
                                <w:color w:val="000000" w:themeColor="text1"/>
                                <w:kern w:val="24"/>
                                <w:szCs w:val="28"/>
                              </w:rPr>
                              <w:t xml:space="preserve">Taking Action: Implementing Effective Mathematics Teaching Practices, </w:t>
                            </w:r>
                            <w:r w:rsidRPr="00964AF7">
                              <w:rPr>
                                <w:rFonts w:ascii="Calibri" w:hAnsi="Calibri" w:cstheme="minorBidi"/>
                                <w:iCs/>
                                <w:color w:val="000000" w:themeColor="text1"/>
                                <w:kern w:val="24"/>
                                <w:szCs w:val="28"/>
                              </w:rPr>
                              <w:t xml:space="preserve">p. 102, </w:t>
                            </w:r>
                            <w:r w:rsidRPr="009F2525">
                              <w:rPr>
                                <w:rFonts w:ascii="Calibri" w:hAnsi="Calibri" w:cstheme="minorBidi"/>
                                <w:color w:val="000000" w:themeColor="text1"/>
                                <w:kern w:val="24"/>
                                <w:szCs w:val="28"/>
                              </w:rPr>
                              <w:t xml:space="preserve">National Council of Teachers of Mathematics. </w:t>
                            </w:r>
                          </w:p>
                        </w:txbxContent>
                      </wps:txbx>
                      <wps:bodyPr wrap="square">
                        <a:spAutoFit/>
                      </wps:bodyPr>
                    </wps:wsp>
                  </a:graphicData>
                </a:graphic>
                <wp14:sizeRelH relativeFrom="margin">
                  <wp14:pctWidth>0</wp14:pctWidth>
                </wp14:sizeRelH>
              </wp:anchor>
            </w:drawing>
          </mc:Choice>
          <mc:Fallback>
            <w:pict>
              <v:shapetype w14:anchorId="29DC75E3" id="_x0000_t202" coordsize="21600,21600" o:spt="202" path="m,l,21600r21600,l21600,xe">
                <v:stroke joinstyle="miter"/>
                <v:path gradientshapeok="t" o:connecttype="rect"/>
              </v:shapetype>
              <v:shape id="TextBox 4" o:spid="_x0000_s1026" type="#_x0000_t202" style="position:absolute;margin-left:-4.5pt;margin-top:12.5pt;width:513.75pt;height:4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" filled="f" stroked="f">
                <v:textbox style="mso-fit-shape-to-text:t">
                  <w:txbxContent>
                    <w:p w:rsidR="00352AA3" w:rsidRPr="009F2525" w:rsidRDefault="00352AA3" w:rsidP="00352AA3">
                      <w:pPr>
                        <w:pStyle w:val="NormalWeb"/>
                        <w:spacing w:before="0" w:beforeAutospacing="0" w:after="0" w:afterAutospacing="0"/>
                        <w:rPr>
                          <w:sz w:val="22"/>
                        </w:rPr>
                      </w:pPr>
                      <w:r w:rsidRPr="009F2525">
                        <w:rPr>
                          <w:rFonts w:ascii="Calibri" w:hAnsi="Calibri" w:cstheme="minorBidi"/>
                          <w:color w:val="000000" w:themeColor="text1"/>
                          <w:kern w:val="24"/>
                          <w:szCs w:val="28"/>
                        </w:rPr>
                        <w:t>Adapted f</w:t>
                      </w:r>
                      <w:r>
                        <w:rPr>
                          <w:rFonts w:ascii="Calibri" w:hAnsi="Calibri" w:cstheme="minorBidi"/>
                          <w:color w:val="000000" w:themeColor="text1"/>
                          <w:kern w:val="24"/>
                          <w:szCs w:val="28"/>
                        </w:rPr>
                        <w:t>rom Smith, M. S., et al. (2017)</w:t>
                      </w:r>
                      <w:r w:rsidRPr="009F2525">
                        <w:rPr>
                          <w:rFonts w:ascii="Calibri" w:hAnsi="Calibri" w:cstheme="minorBidi"/>
                          <w:color w:val="000000" w:themeColor="text1"/>
                          <w:kern w:val="24"/>
                          <w:szCs w:val="28"/>
                        </w:rPr>
                        <w:t xml:space="preserve"> </w:t>
                      </w:r>
                      <w:r w:rsidRPr="009F2525">
                        <w:rPr>
                          <w:rFonts w:ascii="Calibri" w:hAnsi="Calibri" w:cstheme="minorBidi"/>
                          <w:i/>
                          <w:iCs/>
                          <w:color w:val="000000" w:themeColor="text1"/>
                          <w:kern w:val="24"/>
                          <w:szCs w:val="28"/>
                        </w:rPr>
                        <w:t xml:space="preserve">Taking Action: Implementing Effective Mathematics Teaching Practices, </w:t>
                      </w:r>
                      <w:r w:rsidRPr="00964AF7">
                        <w:rPr>
                          <w:rFonts w:ascii="Calibri" w:hAnsi="Calibri" w:cstheme="minorBidi"/>
                          <w:iCs/>
                          <w:color w:val="000000" w:themeColor="text1"/>
                          <w:kern w:val="24"/>
                          <w:szCs w:val="28"/>
                        </w:rPr>
                        <w:t xml:space="preserve">p. 102, </w:t>
                      </w:r>
                      <w:r w:rsidRPr="009F2525">
                        <w:rPr>
                          <w:rFonts w:ascii="Calibri" w:hAnsi="Calibri" w:cstheme="minorBidi"/>
                          <w:color w:val="000000" w:themeColor="text1"/>
                          <w:kern w:val="24"/>
                          <w:szCs w:val="28"/>
                        </w:rPr>
                        <w:t xml:space="preserve">National Council of Teachers of Mathematics. </w:t>
                      </w:r>
                    </w:p>
                  </w:txbxContent>
                </v:textbox>
              </v:shape>
            </w:pict>
          </mc:Fallback>
        </mc:AlternateContent>
      </w:r>
    </w:p>
    <w:p w:rsidR="00B05036" w:rsidRPr="00B05036" w:rsidRDefault="00B05036" w:rsidP="00055DC3">
      <w:pPr>
        <w:spacing w:after="0"/>
        <w:rPr>
          <w:rFonts w:ascii="Verdana" w:hAnsi="Verdana"/>
          <w:sz w:val="28"/>
        </w:rPr>
      </w:pPr>
    </w:p>
    <w:sectPr w:rsidR="00B05036" w:rsidRPr="00B05036" w:rsidSect="00352AA3">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C16" w:rsidRDefault="00BA4C16" w:rsidP="00352AA3">
      <w:pPr>
        <w:spacing w:after="0" w:line="240" w:lineRule="auto"/>
      </w:pPr>
      <w:r>
        <w:separator/>
      </w:r>
    </w:p>
  </w:endnote>
  <w:endnote w:type="continuationSeparator" w:id="0">
    <w:p w:rsidR="00BA4C16" w:rsidRDefault="00BA4C16" w:rsidP="0035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A3" w:rsidRPr="00352AA3" w:rsidRDefault="00352AA3">
    <w:pPr>
      <w:pStyle w:val="Footer"/>
      <w:rPr>
        <w:rFonts w:ascii="Verdana" w:hAnsi="Verdana"/>
      </w:rPr>
    </w:pPr>
    <w:r w:rsidRPr="002C5241">
      <w:rPr>
        <w:rFonts w:ascii="Verdana" w:hAnsi="Verdana"/>
      </w:rPr>
      <w:t>Virginia Department of Education</w:t>
    </w:r>
    <w:r w:rsidRPr="002C5241">
      <w:rPr>
        <w:rFonts w:ascii="Verdana" w:hAnsi="Verdana"/>
      </w:rPr>
      <w:tab/>
    </w:r>
    <w:r w:rsidRPr="002C5241">
      <w:rPr>
        <w:rFonts w:ascii="Verdana" w:hAnsi="Verdana"/>
      </w:rPr>
      <w:ptab w:relativeTo="margin" w:alignment="center" w:leader="none"/>
    </w:r>
    <w:r w:rsidRPr="002C5241">
      <w:rPr>
        <w:rFonts w:ascii="Verdana" w:hAnsi="Verdana"/>
      </w:rPr>
      <w:t xml:space="preserve"> </w:t>
    </w:r>
    <w:r w:rsidRPr="002C5241">
      <w:rPr>
        <w:rFonts w:ascii="Verdana" w:hAnsi="Verdana"/>
      </w:rPr>
      <w:ptab w:relativeTo="margin" w:alignment="right" w:leader="none"/>
    </w:r>
    <w:r w:rsidRPr="002C5241">
      <w:rPr>
        <w:rFonts w:ascii="Verdana" w:hAnsi="Verdana"/>
      </w:rPr>
      <w:t>Mathematics Institute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C16" w:rsidRDefault="00BA4C16" w:rsidP="00352AA3">
      <w:pPr>
        <w:spacing w:after="0" w:line="240" w:lineRule="auto"/>
      </w:pPr>
      <w:r>
        <w:separator/>
      </w:r>
    </w:p>
  </w:footnote>
  <w:footnote w:type="continuationSeparator" w:id="0">
    <w:p w:rsidR="00BA4C16" w:rsidRDefault="00BA4C16" w:rsidP="0035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06A"/>
    <w:multiLevelType w:val="hybridMultilevel"/>
    <w:tmpl w:val="D1703AE2"/>
    <w:lvl w:ilvl="0" w:tplc="AD7AA704">
      <w:start w:val="1"/>
      <w:numFmt w:val="decimal"/>
      <w:lvlText w:val="%1."/>
      <w:lvlJc w:val="left"/>
      <w:pPr>
        <w:ind w:left="750" w:hanging="39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15746"/>
    <w:multiLevelType w:val="hybridMultilevel"/>
    <w:tmpl w:val="9CE23334"/>
    <w:lvl w:ilvl="0" w:tplc="AD7AA704">
      <w:start w:val="1"/>
      <w:numFmt w:val="decimal"/>
      <w:lvlText w:val="%1."/>
      <w:lvlJc w:val="left"/>
      <w:pPr>
        <w:ind w:left="750" w:hanging="39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D3642"/>
    <w:multiLevelType w:val="hybridMultilevel"/>
    <w:tmpl w:val="D76A9BEE"/>
    <w:lvl w:ilvl="0" w:tplc="AD7AA704">
      <w:start w:val="1"/>
      <w:numFmt w:val="decimal"/>
      <w:lvlText w:val="%1."/>
      <w:lvlJc w:val="left"/>
      <w:pPr>
        <w:ind w:left="750" w:hanging="39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514E9"/>
    <w:multiLevelType w:val="hybridMultilevel"/>
    <w:tmpl w:val="21564D24"/>
    <w:lvl w:ilvl="0" w:tplc="AD7AA704">
      <w:start w:val="1"/>
      <w:numFmt w:val="decimal"/>
      <w:lvlText w:val="%1."/>
      <w:lvlJc w:val="left"/>
      <w:pPr>
        <w:ind w:left="750" w:hanging="39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B385C"/>
    <w:multiLevelType w:val="hybridMultilevel"/>
    <w:tmpl w:val="80F482F0"/>
    <w:lvl w:ilvl="0" w:tplc="AD7AA704">
      <w:start w:val="1"/>
      <w:numFmt w:val="decimal"/>
      <w:lvlText w:val="%1."/>
      <w:lvlJc w:val="left"/>
      <w:pPr>
        <w:ind w:left="750" w:hanging="39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36"/>
    <w:rsid w:val="00055DC3"/>
    <w:rsid w:val="002F5A34"/>
    <w:rsid w:val="00352AA3"/>
    <w:rsid w:val="00382CD7"/>
    <w:rsid w:val="007C3C1B"/>
    <w:rsid w:val="008E485D"/>
    <w:rsid w:val="00916A6C"/>
    <w:rsid w:val="00B05036"/>
    <w:rsid w:val="00BA1AD3"/>
    <w:rsid w:val="00BA4C16"/>
    <w:rsid w:val="00C5078B"/>
    <w:rsid w:val="00DB3591"/>
    <w:rsid w:val="00DB7CF1"/>
    <w:rsid w:val="00DE7EE0"/>
    <w:rsid w:val="00F354EA"/>
    <w:rsid w:val="00F7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2E0D"/>
  <w15:chartTrackingRefBased/>
  <w15:docId w15:val="{03129991-A930-4D97-BB27-CACD0A99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A6C"/>
    <w:pPr>
      <w:ind w:left="720"/>
      <w:contextualSpacing/>
    </w:pPr>
  </w:style>
  <w:style w:type="table" w:styleId="TableGrid">
    <w:name w:val="Table Grid"/>
    <w:basedOn w:val="TableNormal"/>
    <w:uiPriority w:val="39"/>
    <w:rsid w:val="007C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2AA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5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A3"/>
  </w:style>
  <w:style w:type="paragraph" w:styleId="Footer">
    <w:name w:val="footer"/>
    <w:basedOn w:val="Normal"/>
    <w:link w:val="FooterChar"/>
    <w:uiPriority w:val="99"/>
    <w:unhideWhenUsed/>
    <w:rsid w:val="0035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05849">
      <w:bodyDiv w:val="1"/>
      <w:marLeft w:val="0"/>
      <w:marRight w:val="0"/>
      <w:marTop w:val="0"/>
      <w:marBottom w:val="0"/>
      <w:divBdr>
        <w:top w:val="none" w:sz="0" w:space="0" w:color="auto"/>
        <w:left w:val="none" w:sz="0" w:space="0" w:color="auto"/>
        <w:bottom w:val="none" w:sz="0" w:space="0" w:color="auto"/>
        <w:right w:val="none" w:sz="0" w:space="0" w:color="auto"/>
      </w:divBdr>
    </w:div>
    <w:div w:id="1774550603">
      <w:bodyDiv w:val="1"/>
      <w:marLeft w:val="0"/>
      <w:marRight w:val="0"/>
      <w:marTop w:val="0"/>
      <w:marBottom w:val="0"/>
      <w:divBdr>
        <w:top w:val="none" w:sz="0" w:space="0" w:color="auto"/>
        <w:left w:val="none" w:sz="0" w:space="0" w:color="auto"/>
        <w:bottom w:val="none" w:sz="0" w:space="0" w:color="auto"/>
        <w:right w:val="none" w:sz="0" w:space="0" w:color="auto"/>
      </w:divBdr>
    </w:div>
    <w:div w:id="20327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Spencer T</dc:creator>
  <cp:keywords/>
  <dc:description/>
  <cp:lastModifiedBy>Jamieson, Spencer T</cp:lastModifiedBy>
  <cp:revision>2</cp:revision>
  <dcterms:created xsi:type="dcterms:W3CDTF">2018-10-30T16:32:00Z</dcterms:created>
  <dcterms:modified xsi:type="dcterms:W3CDTF">2018-10-30T16:32:00Z</dcterms:modified>
</cp:coreProperties>
</file>