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8C" w:rsidRPr="008151BB" w:rsidRDefault="008151BB" w:rsidP="008151BB">
      <w:pPr>
        <w:jc w:val="center"/>
        <w:rPr>
          <w:rFonts w:ascii="Verdana" w:hAnsi="Verdana"/>
          <w:b/>
          <w:sz w:val="24"/>
          <w:szCs w:val="24"/>
        </w:rPr>
      </w:pPr>
      <w:r w:rsidRPr="008151BB">
        <w:rPr>
          <w:rFonts w:ascii="Verdana" w:hAnsi="Verdana"/>
          <w:b/>
          <w:sz w:val="24"/>
          <w:szCs w:val="24"/>
        </w:rPr>
        <w:t>Intentional Advance Planning</w:t>
      </w:r>
    </w:p>
    <w:p w:rsidR="008151BB" w:rsidRDefault="008151BB" w:rsidP="008151BB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6565"/>
      </w:tblGrid>
      <w:tr w:rsidR="002C41D1" w:rsidTr="002C41D1">
        <w:tc>
          <w:tcPr>
            <w:tcW w:w="14390" w:type="dxa"/>
            <w:gridSpan w:val="2"/>
            <w:shd w:val="clear" w:color="auto" w:fill="D0CECE" w:themeFill="background2" w:themeFillShade="E6"/>
          </w:tcPr>
          <w:p w:rsidR="002C41D1" w:rsidRDefault="002C41D1" w:rsidP="002C41D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INITIAL PLANNING STEPS</w:t>
            </w:r>
          </w:p>
        </w:tc>
      </w:tr>
      <w:tr w:rsidR="002C41D1" w:rsidTr="002C41D1">
        <w:tc>
          <w:tcPr>
            <w:tcW w:w="7825" w:type="dxa"/>
          </w:tcPr>
          <w:p w:rsidR="002C41D1" w:rsidRDefault="002C41D1" w:rsidP="001C5568">
            <w:pPr>
              <w:spacing w:before="120"/>
              <w:rPr>
                <w:rFonts w:ascii="Verdana" w:hAnsi="Verdana"/>
                <w:sz w:val="24"/>
                <w:szCs w:val="24"/>
              </w:rPr>
            </w:pPr>
            <w:r w:rsidRPr="008151BB">
              <w:rPr>
                <w:rFonts w:ascii="Verdana" w:hAnsi="Verdana"/>
                <w:b/>
                <w:sz w:val="24"/>
                <w:szCs w:val="24"/>
              </w:rPr>
              <w:t>Mathematics Learning Goals</w:t>
            </w:r>
            <w:r>
              <w:rPr>
                <w:rFonts w:ascii="Verdana" w:hAnsi="Verdana"/>
                <w:b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>What understandings will students take away from</w:t>
            </w:r>
            <w:r>
              <w:rPr>
                <w:rFonts w:ascii="Verdana" w:hAnsi="Verdana"/>
                <w:sz w:val="24"/>
                <w:szCs w:val="24"/>
              </w:rPr>
              <w:br/>
              <w:t>this lesson?</w:t>
            </w:r>
          </w:p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65" w:type="dxa"/>
          </w:tcPr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41D1" w:rsidTr="002C41D1">
        <w:tc>
          <w:tcPr>
            <w:tcW w:w="7825" w:type="dxa"/>
          </w:tcPr>
          <w:p w:rsidR="002C41D1" w:rsidRDefault="002C41D1" w:rsidP="001C5568">
            <w:pPr>
              <w:spacing w:before="120"/>
              <w:rPr>
                <w:rFonts w:ascii="Verdana" w:hAnsi="Verdana"/>
                <w:sz w:val="24"/>
                <w:szCs w:val="24"/>
              </w:rPr>
            </w:pPr>
            <w:r w:rsidRPr="008151BB">
              <w:rPr>
                <w:rFonts w:ascii="Verdana" w:hAnsi="Verdana"/>
                <w:b/>
                <w:sz w:val="24"/>
                <w:szCs w:val="24"/>
              </w:rPr>
              <w:t>Evidence of Student Thinking</w:t>
            </w:r>
            <w:r>
              <w:rPr>
                <w:rFonts w:ascii="Verdana" w:hAnsi="Verdana"/>
                <w:b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>What will students say, do, and produce that will</w:t>
            </w:r>
            <w:r>
              <w:rPr>
                <w:rFonts w:ascii="Verdana" w:hAnsi="Verdana"/>
                <w:sz w:val="24"/>
                <w:szCs w:val="24"/>
              </w:rPr>
              <w:br/>
              <w:t>provide evidence of their understandings?</w:t>
            </w:r>
          </w:p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65" w:type="dxa"/>
          </w:tcPr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41D1" w:rsidTr="002C41D1">
        <w:tc>
          <w:tcPr>
            <w:tcW w:w="7825" w:type="dxa"/>
          </w:tcPr>
          <w:p w:rsidR="002C41D1" w:rsidRDefault="002C41D1" w:rsidP="001C5568">
            <w:pPr>
              <w:spacing w:before="120"/>
              <w:rPr>
                <w:rFonts w:ascii="Verdana" w:hAnsi="Verdana"/>
                <w:sz w:val="24"/>
                <w:szCs w:val="24"/>
              </w:rPr>
            </w:pPr>
            <w:r w:rsidRPr="008151BB">
              <w:rPr>
                <w:rFonts w:ascii="Verdana" w:hAnsi="Verdana"/>
                <w:b/>
                <w:sz w:val="24"/>
                <w:szCs w:val="24"/>
              </w:rPr>
              <w:t>Instructional Support – Tools, Resources, Materials</w:t>
            </w:r>
            <w:r w:rsidRPr="008151BB">
              <w:rPr>
                <w:rFonts w:ascii="Verdana" w:hAnsi="Verdana"/>
                <w:b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>What tools or resources will be made available to give</w:t>
            </w:r>
            <w:r>
              <w:rPr>
                <w:rFonts w:ascii="Verdana" w:hAnsi="Verdana"/>
                <w:sz w:val="24"/>
                <w:szCs w:val="24"/>
              </w:rPr>
              <w:br/>
              <w:t>students entry to, and help them reason through the activity?</w:t>
            </w:r>
          </w:p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65" w:type="dxa"/>
          </w:tcPr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41D1" w:rsidTr="002C41D1">
        <w:tc>
          <w:tcPr>
            <w:tcW w:w="7825" w:type="dxa"/>
          </w:tcPr>
          <w:p w:rsidR="002C41D1" w:rsidRDefault="002C41D1" w:rsidP="001C5568">
            <w:pPr>
              <w:spacing w:before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Prior Knowledge</w:t>
            </w:r>
            <w:r>
              <w:rPr>
                <w:rFonts w:ascii="Verdana" w:hAnsi="Verdana"/>
                <w:b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 xml:space="preserve">What prior knowledge and experiences will students </w:t>
            </w:r>
            <w:r>
              <w:rPr>
                <w:rFonts w:ascii="Verdana" w:hAnsi="Verdana"/>
                <w:sz w:val="24"/>
                <w:szCs w:val="24"/>
              </w:rPr>
              <w:br/>
              <w:t>draw upon in their work with this task?</w:t>
            </w:r>
          </w:p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65" w:type="dxa"/>
          </w:tcPr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8151BB" w:rsidRDefault="008151BB" w:rsidP="008151BB">
      <w:pPr>
        <w:rPr>
          <w:rFonts w:ascii="Verdana" w:hAnsi="Verdana"/>
          <w:sz w:val="24"/>
          <w:szCs w:val="24"/>
        </w:rPr>
      </w:pPr>
    </w:p>
    <w:p w:rsidR="002C41D1" w:rsidRDefault="002C41D1" w:rsidP="008151BB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295"/>
        <w:gridCol w:w="3870"/>
        <w:gridCol w:w="4230"/>
      </w:tblGrid>
      <w:tr w:rsidR="008151BB" w:rsidTr="002C41D1">
        <w:trPr>
          <w:tblHeader/>
        </w:trPr>
        <w:tc>
          <w:tcPr>
            <w:tcW w:w="6295" w:type="dxa"/>
            <w:shd w:val="clear" w:color="auto" w:fill="D0CECE" w:themeFill="background2" w:themeFillShade="E6"/>
          </w:tcPr>
          <w:p w:rsidR="008151BB" w:rsidRPr="002C41D1" w:rsidRDefault="008151BB" w:rsidP="008151B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C41D1">
              <w:rPr>
                <w:rFonts w:ascii="Verdana" w:hAnsi="Verdana"/>
                <w:b/>
                <w:sz w:val="24"/>
                <w:szCs w:val="24"/>
              </w:rPr>
              <w:t>Anticipated Solution Paths</w:t>
            </w:r>
          </w:p>
        </w:tc>
        <w:tc>
          <w:tcPr>
            <w:tcW w:w="3870" w:type="dxa"/>
            <w:shd w:val="clear" w:color="auto" w:fill="D0CECE" w:themeFill="background2" w:themeFillShade="E6"/>
          </w:tcPr>
          <w:p w:rsidR="008151BB" w:rsidRPr="002C41D1" w:rsidRDefault="008151BB" w:rsidP="008151B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C41D1">
              <w:rPr>
                <w:rFonts w:ascii="Verdana" w:hAnsi="Verdana"/>
                <w:b/>
                <w:sz w:val="24"/>
                <w:szCs w:val="24"/>
              </w:rPr>
              <w:t>Assessing Questions</w:t>
            </w:r>
          </w:p>
        </w:tc>
        <w:tc>
          <w:tcPr>
            <w:tcW w:w="4230" w:type="dxa"/>
            <w:shd w:val="clear" w:color="auto" w:fill="D0CECE" w:themeFill="background2" w:themeFillShade="E6"/>
          </w:tcPr>
          <w:p w:rsidR="008151BB" w:rsidRPr="002C41D1" w:rsidRDefault="008151BB" w:rsidP="008151B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C41D1">
              <w:rPr>
                <w:rFonts w:ascii="Verdana" w:hAnsi="Verdana"/>
                <w:b/>
                <w:sz w:val="24"/>
                <w:szCs w:val="24"/>
              </w:rPr>
              <w:t>Advancing Questions</w:t>
            </w:r>
          </w:p>
        </w:tc>
      </w:tr>
      <w:tr w:rsidR="008151BB" w:rsidTr="002C41D1">
        <w:tc>
          <w:tcPr>
            <w:tcW w:w="6295" w:type="dxa"/>
          </w:tcPr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70" w:type="dxa"/>
          </w:tcPr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</w:tcPr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151BB" w:rsidTr="002C41D1">
        <w:tc>
          <w:tcPr>
            <w:tcW w:w="6295" w:type="dxa"/>
          </w:tcPr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70" w:type="dxa"/>
          </w:tcPr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</w:tcPr>
          <w:p w:rsidR="008151BB" w:rsidRDefault="008151BB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41D1" w:rsidTr="002C41D1">
        <w:tc>
          <w:tcPr>
            <w:tcW w:w="6295" w:type="dxa"/>
          </w:tcPr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70" w:type="dxa"/>
          </w:tcPr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</w:tcPr>
          <w:p w:rsidR="002C41D1" w:rsidRDefault="002C41D1" w:rsidP="008151B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41D1" w:rsidTr="00555680">
        <w:tc>
          <w:tcPr>
            <w:tcW w:w="6295" w:type="dxa"/>
          </w:tcPr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70" w:type="dxa"/>
          </w:tcPr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</w:tcPr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41D1" w:rsidTr="00555680">
        <w:tc>
          <w:tcPr>
            <w:tcW w:w="6295" w:type="dxa"/>
          </w:tcPr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70" w:type="dxa"/>
          </w:tcPr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</w:tcPr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8151BB" w:rsidRDefault="008151BB" w:rsidP="008151BB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6565"/>
      </w:tblGrid>
      <w:tr w:rsidR="002C41D1" w:rsidTr="00555680">
        <w:tc>
          <w:tcPr>
            <w:tcW w:w="14390" w:type="dxa"/>
            <w:gridSpan w:val="2"/>
            <w:shd w:val="clear" w:color="auto" w:fill="D0CECE" w:themeFill="background2" w:themeFillShade="E6"/>
          </w:tcPr>
          <w:p w:rsidR="002C41D1" w:rsidRDefault="002C41D1" w:rsidP="001C556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PLANNING</w:t>
            </w:r>
            <w:r w:rsidR="001C5568">
              <w:rPr>
                <w:rFonts w:ascii="Verdana" w:hAnsi="Verdana"/>
                <w:b/>
                <w:sz w:val="24"/>
                <w:szCs w:val="24"/>
              </w:rPr>
              <w:t xml:space="preserve"> FOR CLASSROOM DISCUSSION</w:t>
            </w:r>
          </w:p>
        </w:tc>
      </w:tr>
      <w:tr w:rsidR="002C41D1" w:rsidTr="00555680">
        <w:tc>
          <w:tcPr>
            <w:tcW w:w="7825" w:type="dxa"/>
          </w:tcPr>
          <w:p w:rsidR="002C41D1" w:rsidRDefault="002C41D1" w:rsidP="001C5568">
            <w:pPr>
              <w:spacing w:before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Selecting and Sequencing</w:t>
            </w:r>
            <w:r>
              <w:rPr>
                <w:rFonts w:ascii="Verdana" w:hAnsi="Verdana"/>
                <w:b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>Which anticipated approaches and solution paths do you</w:t>
            </w:r>
            <w:r>
              <w:rPr>
                <w:rFonts w:ascii="Verdana" w:hAnsi="Verdana"/>
                <w:sz w:val="24"/>
                <w:szCs w:val="24"/>
              </w:rPr>
              <w:br/>
              <w:t>want students to share and compare? In what order? Why</w:t>
            </w:r>
            <w:r w:rsidR="00D95EED">
              <w:rPr>
                <w:rFonts w:ascii="Verdana" w:hAnsi="Verdana"/>
                <w:sz w:val="24"/>
                <w:szCs w:val="24"/>
              </w:rPr>
              <w:t>?</w:t>
            </w:r>
            <w:bookmarkStart w:id="0" w:name="_GoBack"/>
            <w:bookmarkEnd w:id="0"/>
          </w:p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65" w:type="dxa"/>
          </w:tcPr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41D1" w:rsidTr="00555680">
        <w:tc>
          <w:tcPr>
            <w:tcW w:w="7825" w:type="dxa"/>
          </w:tcPr>
          <w:p w:rsidR="002C41D1" w:rsidRDefault="002C41D1" w:rsidP="001C5568">
            <w:pPr>
              <w:spacing w:before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Connecting Responses</w:t>
            </w:r>
            <w:r>
              <w:rPr>
                <w:rFonts w:ascii="Verdana" w:hAnsi="Verdana"/>
                <w:b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 xml:space="preserve">What specific questions will you ask so that students make </w:t>
            </w:r>
            <w:r>
              <w:rPr>
                <w:rFonts w:ascii="Verdana" w:hAnsi="Verdana"/>
                <w:sz w:val="24"/>
                <w:szCs w:val="24"/>
              </w:rPr>
              <w:br/>
              <w:t xml:space="preserve">connections among the presented solution paths and make </w:t>
            </w:r>
            <w:r>
              <w:rPr>
                <w:rFonts w:ascii="Verdana" w:hAnsi="Verdana"/>
                <w:sz w:val="24"/>
                <w:szCs w:val="24"/>
              </w:rPr>
              <w:br/>
              <w:t>sense of the mathematical ideas you want them to learn?</w:t>
            </w:r>
          </w:p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65" w:type="dxa"/>
          </w:tcPr>
          <w:p w:rsidR="002C41D1" w:rsidRDefault="002C41D1" w:rsidP="0055568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8151BB" w:rsidRDefault="008151BB" w:rsidP="008151BB">
      <w:pPr>
        <w:rPr>
          <w:rFonts w:ascii="Verdana" w:hAnsi="Verdana"/>
          <w:sz w:val="24"/>
          <w:szCs w:val="24"/>
        </w:rPr>
      </w:pPr>
    </w:p>
    <w:p w:rsidR="008151BB" w:rsidRPr="008151BB" w:rsidRDefault="001C5568" w:rsidP="008151BB">
      <w:pPr>
        <w:rPr>
          <w:rFonts w:ascii="Verdana" w:hAnsi="Verdana"/>
          <w:sz w:val="24"/>
          <w:szCs w:val="24"/>
        </w:rPr>
      </w:pPr>
      <w:r w:rsidRPr="009F25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8047D" wp14:editId="1A91073B">
                <wp:simplePos x="0" y="0"/>
                <wp:positionH relativeFrom="column">
                  <wp:posOffset>-76200</wp:posOffset>
                </wp:positionH>
                <wp:positionV relativeFrom="paragraph">
                  <wp:posOffset>144145</wp:posOffset>
                </wp:positionV>
                <wp:extent cx="9267825" cy="523220"/>
                <wp:effectExtent l="0" t="0" r="0" b="6985"/>
                <wp:wrapNone/>
                <wp:docPr id="1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7825" cy="52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1D1" w:rsidRPr="001C5568" w:rsidRDefault="002C41D1" w:rsidP="002C41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1C5568"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Adapted from:  </w:t>
                            </w:r>
                            <w:r w:rsidR="001C5568"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Smith, M. S., et al. (2017) </w:t>
                            </w:r>
                            <w:r w:rsidRPr="001C5568">
                              <w:rPr>
                                <w:rFonts w:ascii="Verdana" w:hAnsi="Verdana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Taking Action: Implementing Effective Mathematics Teaching Practices, </w:t>
                            </w:r>
                            <w:r w:rsidRPr="001C5568">
                              <w:rPr>
                                <w:rFonts w:ascii="Verdana" w:hAnsi="Verdana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pp. 289-291, </w:t>
                            </w:r>
                            <w:r w:rsidRPr="001C5568"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National Council of Teachers of Mathematics.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8047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6pt;margin-top:11.35pt;width:729.75pt;height:4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" filled="f" stroked="f">
                <v:textbox style="mso-fit-shape-to-text:t">
                  <w:txbxContent>
                    <w:p w:rsidR="002C41D1" w:rsidRPr="001C5568" w:rsidRDefault="002C41D1" w:rsidP="002C41D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sz w:val="20"/>
                        </w:rPr>
                      </w:pPr>
                      <w:r w:rsidRPr="001C5568"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>Adapted from</w:t>
                      </w:r>
                      <w:r w:rsidRPr="001C5568"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:  </w:t>
                      </w:r>
                      <w:r w:rsidR="001C5568"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Smith, M. S., et al. </w:t>
                      </w:r>
                      <w:r w:rsidR="001C5568"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(2017) </w:t>
                      </w:r>
                      <w:bookmarkStart w:id="1" w:name="_GoBack"/>
                      <w:bookmarkEnd w:id="1"/>
                      <w:r w:rsidRPr="001C5568">
                        <w:rPr>
                          <w:rFonts w:ascii="Verdana" w:hAnsi="Verdana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Taking Action: Implementing Effective Mathematics Teaching Practices, </w:t>
                      </w:r>
                      <w:r w:rsidRPr="001C5568">
                        <w:rPr>
                          <w:rFonts w:ascii="Verdana" w:hAnsi="Verdana" w:cstheme="minorBidi"/>
                          <w:iCs/>
                          <w:color w:val="000000" w:themeColor="text1"/>
                          <w:kern w:val="24"/>
                          <w:sz w:val="22"/>
                          <w:szCs w:val="28"/>
                        </w:rPr>
                        <w:t>p</w:t>
                      </w:r>
                      <w:r w:rsidRPr="001C5568">
                        <w:rPr>
                          <w:rFonts w:ascii="Verdana" w:hAnsi="Verdana" w:cstheme="minorBidi"/>
                          <w:iCs/>
                          <w:color w:val="000000" w:themeColor="text1"/>
                          <w:kern w:val="24"/>
                          <w:sz w:val="22"/>
                          <w:szCs w:val="28"/>
                        </w:rPr>
                        <w:t>p</w:t>
                      </w:r>
                      <w:r w:rsidRPr="001C5568">
                        <w:rPr>
                          <w:rFonts w:ascii="Verdana" w:hAnsi="Verdana" w:cstheme="minorBidi"/>
                          <w:i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. </w:t>
                      </w:r>
                      <w:r w:rsidRPr="001C5568">
                        <w:rPr>
                          <w:rFonts w:ascii="Verdana" w:hAnsi="Verdana" w:cstheme="minorBidi"/>
                          <w:iCs/>
                          <w:color w:val="000000" w:themeColor="text1"/>
                          <w:kern w:val="24"/>
                          <w:sz w:val="22"/>
                          <w:szCs w:val="28"/>
                        </w:rPr>
                        <w:t>289-291</w:t>
                      </w:r>
                      <w:r w:rsidRPr="001C5568">
                        <w:rPr>
                          <w:rFonts w:ascii="Verdana" w:hAnsi="Verdana" w:cstheme="minorBidi"/>
                          <w:i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, </w:t>
                      </w:r>
                      <w:r w:rsidRPr="001C5568"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National Council of Teachers of Mathematics. </w:t>
                      </w:r>
                    </w:p>
                  </w:txbxContent>
                </v:textbox>
              </v:shape>
            </w:pict>
          </mc:Fallback>
        </mc:AlternateContent>
      </w:r>
    </w:p>
    <w:p w:rsidR="001C5568" w:rsidRDefault="001C5568" w:rsidP="008151BB">
      <w:pPr>
        <w:rPr>
          <w:rFonts w:ascii="Verdana" w:hAnsi="Verdana"/>
          <w:sz w:val="24"/>
          <w:szCs w:val="24"/>
        </w:rPr>
      </w:pPr>
    </w:p>
    <w:p w:rsidR="001C5568" w:rsidRDefault="001C5568" w:rsidP="008151BB">
      <w:pPr>
        <w:rPr>
          <w:rFonts w:ascii="Verdana" w:hAnsi="Verdana"/>
          <w:sz w:val="24"/>
          <w:szCs w:val="24"/>
        </w:rPr>
      </w:pPr>
    </w:p>
    <w:p w:rsidR="002C41D1" w:rsidRPr="001C5568" w:rsidRDefault="001C5568" w:rsidP="001C5568">
      <w:pPr>
        <w:pStyle w:val="Footer"/>
        <w:rPr>
          <w:rFonts w:ascii="Verdana" w:hAnsi="Verdana"/>
        </w:rPr>
      </w:pPr>
      <w:r w:rsidRPr="001C5568">
        <w:rPr>
          <w:rFonts w:ascii="Verdana" w:hAnsi="Verdana"/>
        </w:rPr>
        <w:t>Virginia Department of Education</w:t>
      </w:r>
      <w:r w:rsidRPr="001C5568">
        <w:rPr>
          <w:rFonts w:ascii="Verdana" w:hAnsi="Verdana"/>
        </w:rPr>
        <w:tab/>
      </w:r>
      <w:r w:rsidRPr="001C5568">
        <w:rPr>
          <w:rFonts w:ascii="Verdana" w:hAnsi="Verdana"/>
        </w:rPr>
        <w:ptab w:relativeTo="margin" w:alignment="center" w:leader="none"/>
      </w:r>
      <w:r w:rsidRPr="001C5568">
        <w:rPr>
          <w:rFonts w:ascii="Verdana" w:hAnsi="Verdana"/>
        </w:rPr>
        <w:t xml:space="preserve"> </w:t>
      </w:r>
      <w:r w:rsidRPr="001C5568">
        <w:rPr>
          <w:rFonts w:ascii="Verdana" w:hAnsi="Verdana"/>
        </w:rPr>
        <w:ptab w:relativeTo="margin" w:alignment="right" w:leader="none"/>
      </w:r>
      <w:r w:rsidRPr="001C5568">
        <w:rPr>
          <w:rFonts w:ascii="Verdana" w:hAnsi="Verdana"/>
        </w:rPr>
        <w:t>Mathematics Institute 2018</w:t>
      </w:r>
      <w:r w:rsidR="002C41D1" w:rsidRPr="001C556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8047D" wp14:editId="1A91073B">
                <wp:simplePos x="0" y="0"/>
                <wp:positionH relativeFrom="column">
                  <wp:posOffset>114300</wp:posOffset>
                </wp:positionH>
                <wp:positionV relativeFrom="paragraph">
                  <wp:posOffset>2582545</wp:posOffset>
                </wp:positionV>
                <wp:extent cx="6648450" cy="523220"/>
                <wp:effectExtent l="0" t="0" r="0" b="0"/>
                <wp:wrapNone/>
                <wp:docPr id="5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1D1" w:rsidRPr="009F2525" w:rsidRDefault="002C41D1" w:rsidP="002C41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Resource:  </w:t>
                            </w:r>
                            <w:r w:rsidRPr="009F2525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Smith, M. S., et al. (2017</w:t>
                            </w:r>
                            <w:proofErr w:type="gramStart"/>
                            <w:r w:rsidRPr="009F2525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)  </w:t>
                            </w:r>
                            <w:r w:rsidRPr="009F2525">
                              <w:rPr>
                                <w:rFonts w:ascii="Calibr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  <w:t>Taking</w:t>
                            </w:r>
                            <w:proofErr w:type="gramEnd"/>
                            <w:r w:rsidRPr="009F2525">
                              <w:rPr>
                                <w:rFonts w:ascii="Calibr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Action: Implementing Effective Mathematics Teaching Practices, </w:t>
                            </w:r>
                            <w:r w:rsidRPr="00964AF7">
                              <w:rPr>
                                <w:rFonts w:ascii="Calibri" w:hAnsi="Calibri" w:cstheme="minorBidi"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p. </w:t>
                            </w:r>
                            <w:r>
                              <w:rPr>
                                <w:rFonts w:ascii="Calibri" w:hAnsi="Calibri" w:cstheme="minorBidi"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  <w:t>98</w:t>
                            </w:r>
                            <w:r w:rsidRPr="00964AF7">
                              <w:rPr>
                                <w:rFonts w:ascii="Calibri" w:hAnsi="Calibri" w:cstheme="minorBidi"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, </w:t>
                            </w:r>
                            <w:r w:rsidRPr="009F2525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National Council of Teachers of Mathematics.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8047D" id="_x0000_s1027" type="#_x0000_t202" style="position:absolute;margin-left:9pt;margin-top:203.35pt;width:523.5pt;height:4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" filled="f" stroked="f">
                <v:textbox style="mso-fit-shape-to-text:t">
                  <w:txbxContent>
                    <w:p w:rsidR="002C41D1" w:rsidRPr="009F2525" w:rsidRDefault="002C41D1" w:rsidP="002C41D1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Resource:  </w:t>
                      </w:r>
                      <w:r w:rsidRPr="009F2525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28"/>
                        </w:rPr>
                        <w:t>Smith, M. S., et al. (2017</w:t>
                      </w:r>
                      <w:proofErr w:type="gramStart"/>
                      <w:r w:rsidRPr="009F2525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)  </w:t>
                      </w:r>
                      <w:r w:rsidRPr="009F2525">
                        <w:rPr>
                          <w:rFonts w:ascii="Calibri" w:hAnsi="Calibri" w:cstheme="minorBidi"/>
                          <w:i/>
                          <w:iCs/>
                          <w:color w:val="000000" w:themeColor="text1"/>
                          <w:kern w:val="24"/>
                          <w:szCs w:val="28"/>
                        </w:rPr>
                        <w:t>Taking</w:t>
                      </w:r>
                      <w:proofErr w:type="gramEnd"/>
                      <w:r w:rsidRPr="009F2525">
                        <w:rPr>
                          <w:rFonts w:ascii="Calibri" w:hAnsi="Calibri" w:cstheme="minorBidi"/>
                          <w:i/>
                          <w:iCs/>
                          <w:color w:val="000000" w:themeColor="text1"/>
                          <w:kern w:val="24"/>
                          <w:szCs w:val="28"/>
                        </w:rPr>
                        <w:t xml:space="preserve"> Action: Implementing Effective Mathematics Teaching Practices, </w:t>
                      </w:r>
                      <w:r w:rsidRPr="00964AF7">
                        <w:rPr>
                          <w:rFonts w:ascii="Calibri" w:hAnsi="Calibri" w:cstheme="minorBidi"/>
                          <w:iCs/>
                          <w:color w:val="000000" w:themeColor="text1"/>
                          <w:kern w:val="24"/>
                          <w:szCs w:val="28"/>
                        </w:rPr>
                        <w:t xml:space="preserve">p. </w:t>
                      </w:r>
                      <w:r>
                        <w:rPr>
                          <w:rFonts w:ascii="Calibri" w:hAnsi="Calibri" w:cstheme="minorBidi"/>
                          <w:iCs/>
                          <w:color w:val="000000" w:themeColor="text1"/>
                          <w:kern w:val="24"/>
                          <w:szCs w:val="28"/>
                        </w:rPr>
                        <w:t>98</w:t>
                      </w:r>
                      <w:r w:rsidRPr="00964AF7">
                        <w:rPr>
                          <w:rFonts w:ascii="Calibri" w:hAnsi="Calibri" w:cstheme="minorBidi"/>
                          <w:iCs/>
                          <w:color w:val="000000" w:themeColor="text1"/>
                          <w:kern w:val="24"/>
                          <w:szCs w:val="28"/>
                        </w:rPr>
                        <w:t xml:space="preserve">, </w:t>
                      </w:r>
                      <w:r w:rsidRPr="009F2525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National Council of Teachers of Mathematics.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41D1" w:rsidRPr="001C5568" w:rsidSect="008151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BB"/>
    <w:rsid w:val="001B338C"/>
    <w:rsid w:val="001C5568"/>
    <w:rsid w:val="002C41D1"/>
    <w:rsid w:val="008151BB"/>
    <w:rsid w:val="00D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38D0"/>
  <w15:chartTrackingRefBased/>
  <w15:docId w15:val="{ED4C8BF3-06D9-4D79-B795-89BE8F43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41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M. Bohidar (vmbohidar)</dc:creator>
  <cp:keywords/>
  <dc:description/>
  <cp:lastModifiedBy>Delozier, Debra (DOE)</cp:lastModifiedBy>
  <cp:revision>3</cp:revision>
  <dcterms:created xsi:type="dcterms:W3CDTF">2018-07-23T13:58:00Z</dcterms:created>
  <dcterms:modified xsi:type="dcterms:W3CDTF">2018-11-14T18:18:00Z</dcterms:modified>
</cp:coreProperties>
</file>