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AF6" w:rsidRDefault="00B37AF6" w:rsidP="00B37AF6">
      <w:pPr>
        <w:spacing w:line="480" w:lineRule="auto"/>
        <w:jc w:val="center"/>
        <w:rPr>
          <w:rFonts w:cstheme="minorHAnsi"/>
        </w:rPr>
      </w:pPr>
      <w:r>
        <w:rPr>
          <w:rFonts w:cstheme="minorHAnsi"/>
        </w:rPr>
        <w:t>Anticipating Student Responses</w:t>
      </w:r>
    </w:p>
    <w:p w:rsidR="00B37AF6" w:rsidRDefault="00B37AF6" w:rsidP="00B37AF6">
      <w:pPr>
        <w:spacing w:line="480" w:lineRule="auto"/>
        <w:rPr>
          <w:rFonts w:cstheme="minorHAnsi"/>
        </w:rPr>
      </w:pPr>
      <w:r w:rsidRPr="00B37AF6">
        <w:rPr>
          <w:rFonts w:cstheme="minorHAnsi"/>
        </w:rPr>
        <w:t>“As math students ourselves, we are often trained to become more efficient and begin pruning what feel like unnecessary steps and computational deadweight.  The trouble with this path to efficiency is that these trimmings become expert blind spots when we run a classroom of our own.  Many of us have lived through educational experiences in which we were taught to seek the right answers as quickly as possible.  With a core shift to viewing mathematics as a process rather than a collection of products, it is important for us as educators to investigate our own problem-solving process and regrow any trimmed blind spots.  It helps to think about mathematics itself as an explanation, in which each individual step comes with purpose and justifiable legitimacy.”</w:t>
      </w:r>
    </w:p>
    <w:p w:rsidR="00B37AF6" w:rsidRPr="002A7F44" w:rsidRDefault="00B37AF6" w:rsidP="00B37AF6">
      <w:pPr>
        <w:rPr>
          <w:rFonts w:cstheme="minorHAnsi"/>
        </w:rPr>
      </w:pPr>
      <w:r w:rsidRPr="00364AD5">
        <w:rPr>
          <w:rFonts w:ascii="Verdana" w:hAnsi="Verdana"/>
          <w:i/>
          <w:iCs/>
        </w:rPr>
        <w:t>-</w:t>
      </w:r>
      <w:proofErr w:type="spellStart"/>
      <w:r w:rsidR="002A7F44">
        <w:rPr>
          <w:rFonts w:cstheme="minorHAnsi"/>
          <w:iCs/>
        </w:rPr>
        <w:t>Almarode</w:t>
      </w:r>
      <w:proofErr w:type="spellEnd"/>
      <w:r w:rsidR="002A7F44">
        <w:rPr>
          <w:rFonts w:cstheme="minorHAnsi"/>
          <w:iCs/>
        </w:rPr>
        <w:t xml:space="preserve">, J. et al (2018). </w:t>
      </w:r>
      <w:r w:rsidRPr="00B37AF6">
        <w:rPr>
          <w:rFonts w:cstheme="minorHAnsi"/>
          <w:i/>
          <w:iCs/>
        </w:rPr>
        <w:t>Teaching Mathematics in the Visible</w:t>
      </w:r>
      <w:r>
        <w:rPr>
          <w:rFonts w:cstheme="minorHAnsi"/>
        </w:rPr>
        <w:t xml:space="preserve"> </w:t>
      </w:r>
      <w:r w:rsidRPr="00B37AF6">
        <w:rPr>
          <w:rFonts w:cstheme="minorHAnsi"/>
          <w:i/>
          <w:iCs/>
        </w:rPr>
        <w:t>Learning Classroom: High School</w:t>
      </w:r>
      <w:r w:rsidR="002A7F44">
        <w:rPr>
          <w:rFonts w:cstheme="minorHAnsi"/>
          <w:i/>
          <w:iCs/>
        </w:rPr>
        <w:t xml:space="preserve">. </w:t>
      </w:r>
      <w:r w:rsidR="002A7F44">
        <w:rPr>
          <w:rFonts w:cstheme="minorHAnsi"/>
          <w:iCs/>
        </w:rPr>
        <w:t>Thousand Oaks, CA: Corwin.</w:t>
      </w:r>
    </w:p>
    <w:p w:rsidR="00B37AF6" w:rsidRDefault="00B37AF6" w:rsidP="00B37AF6">
      <w:pPr>
        <w:spacing w:line="480" w:lineRule="auto"/>
        <w:rPr>
          <w:rFonts w:cstheme="minorHAnsi"/>
        </w:rPr>
      </w:pPr>
    </w:p>
    <w:p w:rsidR="00B37AF6" w:rsidRPr="00B37AF6" w:rsidRDefault="00B37AF6" w:rsidP="002A7F44">
      <w:pPr>
        <w:spacing w:line="480" w:lineRule="auto"/>
        <w:jc w:val="center"/>
        <w:rPr>
          <w:rFonts w:cstheme="minorHAnsi"/>
        </w:rPr>
      </w:pPr>
      <w:r w:rsidRPr="00B37AF6">
        <w:rPr>
          <w:rFonts w:cstheme="minorHAnsi"/>
        </w:rPr>
        <w:t>Anticipating Student Responses</w:t>
      </w:r>
    </w:p>
    <w:p w:rsidR="00B37AF6" w:rsidRDefault="00B37AF6" w:rsidP="00B37AF6">
      <w:pPr>
        <w:spacing w:line="480" w:lineRule="auto"/>
        <w:rPr>
          <w:rFonts w:cstheme="minorHAnsi"/>
        </w:rPr>
      </w:pPr>
      <w:r w:rsidRPr="00B37AF6">
        <w:rPr>
          <w:rFonts w:cstheme="minorHAnsi"/>
        </w:rPr>
        <w:t>“As math students ourselves, we are often trained to become more efficient and begin pruning what feel like unnecessary steps and computational deadweight.  The trouble with this path to efficiency is that these trimmings become expert blind spots when we run a classroom of our own.  Many of us have lived through educational experiences in which we were taught to seek the right answers as quickly as possible.  With a core shift to viewing mathematics as a process rather than a collection of products, it is important for us as educators to investigate our own problem-solving process and regrow any trimmed blind spots.  It helps to think about mathematics itself as an explanation, in which each individual step comes with purpose and justifiable legitimacy.”</w:t>
      </w:r>
    </w:p>
    <w:p w:rsidR="000E3E3E" w:rsidRPr="002A7F44" w:rsidRDefault="000E3E3E" w:rsidP="000E3E3E">
      <w:pPr>
        <w:rPr>
          <w:rFonts w:cstheme="minorHAnsi"/>
        </w:rPr>
      </w:pPr>
      <w:r w:rsidRPr="00364AD5">
        <w:rPr>
          <w:rFonts w:ascii="Verdana" w:hAnsi="Verdana"/>
          <w:i/>
          <w:iCs/>
        </w:rPr>
        <w:t>-</w:t>
      </w:r>
      <w:proofErr w:type="spellStart"/>
      <w:r>
        <w:rPr>
          <w:rFonts w:cstheme="minorHAnsi"/>
          <w:iCs/>
        </w:rPr>
        <w:t>Almarode</w:t>
      </w:r>
      <w:proofErr w:type="spellEnd"/>
      <w:r>
        <w:rPr>
          <w:rFonts w:cstheme="minorHAnsi"/>
          <w:iCs/>
        </w:rPr>
        <w:t xml:space="preserve">, J. et al (2018). </w:t>
      </w:r>
      <w:r w:rsidRPr="00B37AF6">
        <w:rPr>
          <w:rFonts w:cstheme="minorHAnsi"/>
          <w:i/>
          <w:iCs/>
        </w:rPr>
        <w:t>Teaching Mathematics in the Visible</w:t>
      </w:r>
      <w:r>
        <w:rPr>
          <w:rFonts w:cstheme="minorHAnsi"/>
        </w:rPr>
        <w:t xml:space="preserve"> </w:t>
      </w:r>
      <w:r w:rsidRPr="00B37AF6">
        <w:rPr>
          <w:rFonts w:cstheme="minorHAnsi"/>
          <w:i/>
          <w:iCs/>
        </w:rPr>
        <w:t>Learning Classroom: High School</w:t>
      </w:r>
      <w:r>
        <w:rPr>
          <w:rFonts w:cstheme="minorHAnsi"/>
          <w:i/>
          <w:iCs/>
        </w:rPr>
        <w:t xml:space="preserve">. </w:t>
      </w:r>
      <w:r>
        <w:rPr>
          <w:rFonts w:cstheme="minorHAnsi"/>
          <w:iCs/>
        </w:rPr>
        <w:t>Thousand Oaks, CA: Corwin.</w:t>
      </w:r>
    </w:p>
    <w:p w:rsidR="00D62005" w:rsidRDefault="00342DAA"/>
    <w:sectPr w:rsidR="00D62005" w:rsidSect="00B37AF6">
      <w:footerReference w:type="default" r:id="rId6"/>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E3E" w:rsidRDefault="000E3E3E" w:rsidP="000E3E3E">
      <w:r>
        <w:separator/>
      </w:r>
    </w:p>
  </w:endnote>
  <w:endnote w:type="continuationSeparator" w:id="0">
    <w:p w:rsidR="000E3E3E" w:rsidRDefault="000E3E3E" w:rsidP="000E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E3E" w:rsidRDefault="000E3E3E" w:rsidP="00342DAA">
    <w:pPr>
      <w:pStyle w:val="Footer"/>
      <w:tabs>
        <w:tab w:val="clear" w:pos="4680"/>
        <w:tab w:val="clear" w:pos="9360"/>
        <w:tab w:val="center" w:pos="12870"/>
      </w:tabs>
    </w:pPr>
    <w:r>
      <w:t>Virginia Department of Education</w:t>
    </w:r>
    <w:r w:rsidR="00342DAA">
      <w:tab/>
    </w:r>
    <w:bookmarkStart w:id="0" w:name="_GoBack"/>
    <w:bookmarkEnd w:id="0"/>
    <w:r>
      <w:t>Mathematics Institutes 2019</w:t>
    </w:r>
  </w:p>
  <w:p w:rsidR="000E3E3E" w:rsidRDefault="000E3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E3E" w:rsidRDefault="000E3E3E" w:rsidP="000E3E3E">
      <w:r>
        <w:separator/>
      </w:r>
    </w:p>
  </w:footnote>
  <w:footnote w:type="continuationSeparator" w:id="0">
    <w:p w:rsidR="000E3E3E" w:rsidRDefault="000E3E3E" w:rsidP="000E3E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AF6"/>
    <w:rsid w:val="00081E31"/>
    <w:rsid w:val="000E3E3E"/>
    <w:rsid w:val="002A6188"/>
    <w:rsid w:val="002A7F44"/>
    <w:rsid w:val="002F35C6"/>
    <w:rsid w:val="00342DAA"/>
    <w:rsid w:val="009F76F5"/>
    <w:rsid w:val="00B37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BF5CE5"/>
  <w15:chartTrackingRefBased/>
  <w15:docId w15:val="{3FCEF654-136C-426D-A5A4-ED34666C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AF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E3E"/>
    <w:pPr>
      <w:tabs>
        <w:tab w:val="center" w:pos="4680"/>
        <w:tab w:val="right" w:pos="9360"/>
      </w:tabs>
    </w:pPr>
  </w:style>
  <w:style w:type="character" w:customStyle="1" w:styleId="HeaderChar">
    <w:name w:val="Header Char"/>
    <w:basedOn w:val="DefaultParagraphFont"/>
    <w:link w:val="Header"/>
    <w:uiPriority w:val="99"/>
    <w:rsid w:val="000E3E3E"/>
    <w:rPr>
      <w:sz w:val="24"/>
      <w:szCs w:val="24"/>
    </w:rPr>
  </w:style>
  <w:style w:type="paragraph" w:styleId="Footer">
    <w:name w:val="footer"/>
    <w:basedOn w:val="Normal"/>
    <w:link w:val="FooterChar"/>
    <w:uiPriority w:val="99"/>
    <w:unhideWhenUsed/>
    <w:rsid w:val="000E3E3E"/>
    <w:pPr>
      <w:tabs>
        <w:tab w:val="center" w:pos="4680"/>
        <w:tab w:val="right" w:pos="9360"/>
      </w:tabs>
    </w:pPr>
  </w:style>
  <w:style w:type="character" w:customStyle="1" w:styleId="FooterChar">
    <w:name w:val="Footer Char"/>
    <w:basedOn w:val="DefaultParagraphFont"/>
    <w:link w:val="Footer"/>
    <w:uiPriority w:val="99"/>
    <w:rsid w:val="000E3E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Kristin (DOE)</dc:creator>
  <cp:keywords/>
  <dc:description/>
  <cp:lastModifiedBy>Delozier, Debra (DOE)</cp:lastModifiedBy>
  <cp:revision>2</cp:revision>
  <dcterms:created xsi:type="dcterms:W3CDTF">2019-09-19T12:50:00Z</dcterms:created>
  <dcterms:modified xsi:type="dcterms:W3CDTF">2019-11-13T13:18:00Z</dcterms:modified>
</cp:coreProperties>
</file>