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4AD" w:rsidRPr="003274AD" w:rsidRDefault="003274AD" w:rsidP="003274AD">
      <w:pPr>
        <w:pStyle w:val="Title"/>
        <w:numPr>
          <w:ilvl w:val="0"/>
          <w:numId w:val="0"/>
        </w:numPr>
        <w:ind w:left="720"/>
      </w:pPr>
      <w:bookmarkStart w:id="0" w:name="_GoBack"/>
      <w:bookmarkEnd w:id="0"/>
      <w:r w:rsidRPr="003274AD">
        <w:t>Understand Scoring</w:t>
      </w:r>
    </w:p>
    <w:p w:rsidR="003274AD" w:rsidRPr="003274AD" w:rsidRDefault="003274AD" w:rsidP="003274AD">
      <w:pPr>
        <w:pStyle w:val="Subtitle"/>
        <w:numPr>
          <w:ilvl w:val="0"/>
          <w:numId w:val="0"/>
        </w:numPr>
      </w:pPr>
      <w:r>
        <w:t xml:space="preserve">For Use with </w:t>
      </w:r>
      <w:r w:rsidRPr="003274AD">
        <w:t>End-of-Course Local Performance Assessment</w:t>
      </w:r>
      <w:r>
        <w:t>s</w:t>
      </w:r>
      <w:r w:rsidRPr="003274AD">
        <w:t xml:space="preserve"> to Verify Credits in Writing</w:t>
      </w:r>
    </w:p>
    <w:p w:rsidR="003274AD" w:rsidRDefault="003274AD" w:rsidP="00932C27">
      <w:pPr>
        <w:pStyle w:val="Heading1"/>
      </w:pPr>
    </w:p>
    <w:p w:rsidR="00C10452" w:rsidRPr="00932C27" w:rsidRDefault="003274AD" w:rsidP="00932C27">
      <w:pPr>
        <w:pStyle w:val="Heading1"/>
      </w:pPr>
      <w:r w:rsidRPr="00932C27">
        <w:t>What is Understand Scoring?</w:t>
      </w:r>
    </w:p>
    <w:p w:rsidR="003274AD" w:rsidRPr="003274AD" w:rsidRDefault="00560316" w:rsidP="003274AD">
      <w:r>
        <w:t>O</w:t>
      </w:r>
      <w:r w:rsidR="003274AD" w:rsidRPr="003274AD">
        <w:t>nline application hosted by the Virginia Department of Education (VDOE) and Pearson</w:t>
      </w:r>
    </w:p>
    <w:p w:rsidR="003274AD" w:rsidRDefault="003274AD" w:rsidP="003274AD">
      <w:r w:rsidRPr="003274AD">
        <w:t>Originally created to provide additional information about scoring the short paper component of the Grade 5, Grade 8, and End-of-Course (EOC) Writing Standards of Learning (SOL) assessments</w:t>
      </w:r>
    </w:p>
    <w:p w:rsidR="003B5BA1" w:rsidRPr="003274AD" w:rsidRDefault="003B5BA1" w:rsidP="003274AD">
      <w:r>
        <w:t>A new “Local HS” tab provides</w:t>
      </w:r>
      <w:r w:rsidRPr="00A35C8D">
        <w:t xml:space="preserve"> information abou</w:t>
      </w:r>
      <w:r>
        <w:t xml:space="preserve">t administering and scoring </w:t>
      </w:r>
      <w:r w:rsidRPr="00A35C8D">
        <w:t>End-of-Course Local Performance Assessments to Verify Credits in Writing</w:t>
      </w:r>
    </w:p>
    <w:p w:rsidR="00932C27" w:rsidRDefault="00932C27" w:rsidP="00932C27">
      <w:pPr>
        <w:pStyle w:val="Heading1"/>
      </w:pPr>
      <w:r>
        <w:t>Accessing Understand Scoring</w:t>
      </w:r>
    </w:p>
    <w:p w:rsidR="00932C27" w:rsidRDefault="003B5BA1" w:rsidP="00535D2E">
      <w:r>
        <w:t xml:space="preserve">The link </w:t>
      </w:r>
      <w:r w:rsidR="00932C27">
        <w:t xml:space="preserve">on the VDOE </w:t>
      </w:r>
      <w:hyperlink r:id="rId7" w:history="1">
        <w:r w:rsidR="00932C27" w:rsidRPr="003B5BA1">
          <w:rPr>
            <w:rStyle w:val="Hyperlink"/>
            <w:color w:val="1A04BC"/>
          </w:rPr>
          <w:t>website</w:t>
        </w:r>
      </w:hyperlink>
      <w:r w:rsidR="00932C27">
        <w:t xml:space="preserve"> takes a user to the sign in page.</w:t>
      </w:r>
      <w:r>
        <w:t xml:space="preserve"> </w:t>
      </w:r>
      <w:r w:rsidR="00932C27">
        <w:t>Choose “Sign Up” in the upper right corner of the web page to create an account.</w:t>
      </w:r>
      <w:r>
        <w:t xml:space="preserve"> </w:t>
      </w:r>
      <w:r w:rsidR="00932C27">
        <w:t xml:space="preserve">A keyword is required </w:t>
      </w:r>
      <w:r>
        <w:t>(s</w:t>
      </w:r>
      <w:r w:rsidR="00932C27">
        <w:t xml:space="preserve">ee the </w:t>
      </w:r>
      <w:hyperlink r:id="rId8" w:history="1">
        <w:r w:rsidR="00932C27" w:rsidRPr="003B5BA1">
          <w:rPr>
            <w:rStyle w:val="Hyperlink"/>
            <w:i/>
            <w:color w:val="1A04BC"/>
          </w:rPr>
          <w:t>Implementation Support</w:t>
        </w:r>
      </w:hyperlink>
      <w:r>
        <w:rPr>
          <w:color w:val="1A04BC"/>
        </w:rPr>
        <w:t>)</w:t>
      </w:r>
      <w:r w:rsidR="00932C27">
        <w:t>.</w:t>
      </w:r>
    </w:p>
    <w:p w:rsidR="00932C27" w:rsidRDefault="00932C27" w:rsidP="00932C27">
      <w:r>
        <w:t>Note: Only users with accounts will be able to access Verification Sets in Understand Scoring.</w:t>
      </w:r>
    </w:p>
    <w:p w:rsidR="00D12388" w:rsidRDefault="00D12388" w:rsidP="00D12388">
      <w:pPr>
        <w:pStyle w:val="Heading1"/>
      </w:pPr>
      <w:r>
        <w:t>Using Understand Scoring When Verifying Credits Using Local Performance Assessments</w:t>
      </w:r>
    </w:p>
    <w:p w:rsidR="00D12388" w:rsidRPr="00D12388" w:rsidRDefault="00D12388" w:rsidP="00D12388">
      <w:pPr>
        <w:pStyle w:val="Heading2"/>
      </w:pPr>
      <w:r>
        <w:t>Procedures for Training Scorers</w:t>
      </w:r>
    </w:p>
    <w:p w:rsidR="00D12388" w:rsidRDefault="00D12388" w:rsidP="00D12388">
      <w:r>
        <w:t>To score local performance assessments that will be used to verify credits in writing, a scorer must first be trained, and then qualify, with Virginia materials provided in Understand Scoring.</w:t>
      </w:r>
    </w:p>
    <w:p w:rsidR="00D12388" w:rsidRPr="0062482D" w:rsidRDefault="00D12388" w:rsidP="00D12388">
      <w:r w:rsidRPr="0062482D">
        <w:t>Prospective scorers should also be familiar with the 2017 </w:t>
      </w:r>
      <w:hyperlink r:id="rId9" w:history="1">
        <w:r w:rsidRPr="00D12388">
          <w:rPr>
            <w:rStyle w:val="Hyperlink"/>
            <w:iCs/>
            <w:color w:val="1A04BC"/>
          </w:rPr>
          <w:t>English</w:t>
        </w:r>
        <w:r w:rsidRPr="00D12388">
          <w:rPr>
            <w:rStyle w:val="Hyperlink"/>
            <w:i/>
            <w:iCs/>
            <w:color w:val="1A04BC"/>
          </w:rPr>
          <w:t xml:space="preserve"> Standards of Learning</w:t>
        </w:r>
      </w:hyperlink>
      <w:r w:rsidRPr="00D12388">
        <w:rPr>
          <w:color w:val="1A04BC"/>
        </w:rPr>
        <w:t xml:space="preserve">, </w:t>
      </w:r>
      <w:r w:rsidRPr="00D12388">
        <w:t>the </w:t>
      </w:r>
      <w:hyperlink r:id="rId10" w:history="1">
        <w:r w:rsidRPr="003B5BA1">
          <w:rPr>
            <w:rStyle w:val="Hyperlink"/>
            <w:i/>
            <w:iCs/>
            <w:color w:val="1A04BC"/>
          </w:rPr>
          <w:t>Guidelines for the Use of Local Performance Assessments to Verify Credits in Writing</w:t>
        </w:r>
      </w:hyperlink>
      <w:r w:rsidRPr="0062482D">
        <w:t xml:space="preserve"> to ensure that they have a clear understanding of the performance assessment requirements and suggestions.</w:t>
      </w:r>
    </w:p>
    <w:p w:rsidR="00D12388" w:rsidRDefault="00D12388" w:rsidP="003B5BA1">
      <w:r>
        <w:t>Sco</w:t>
      </w:r>
      <w:r w:rsidR="003B5BA1">
        <w:t>rers should read and understand a</w:t>
      </w:r>
      <w:r>
        <w:t xml:space="preserve">ll information in </w:t>
      </w:r>
      <w:r w:rsidR="00560316">
        <w:t xml:space="preserve">each section of </w:t>
      </w:r>
      <w:r>
        <w:t>the Local HS</w:t>
      </w:r>
      <w:r w:rsidR="003B5BA1">
        <w:t xml:space="preserve"> tab</w:t>
      </w:r>
      <w:r w:rsidR="00560316">
        <w:t>.</w:t>
      </w:r>
      <w:r w:rsidRPr="0062482D">
        <w:t xml:space="preserve"> </w:t>
      </w:r>
    </w:p>
    <w:p w:rsidR="003928D7" w:rsidRPr="0062482D" w:rsidRDefault="003928D7" w:rsidP="003928D7">
      <w:pPr>
        <w:pStyle w:val="Heading2"/>
      </w:pPr>
      <w:r>
        <w:t>Sections within Understand Scoring</w:t>
      </w:r>
    </w:p>
    <w:p w:rsidR="00D12388" w:rsidRDefault="00D12388" w:rsidP="00D12388">
      <w:r>
        <w:t>Learn About Scoring</w:t>
      </w:r>
      <w:r w:rsidR="003928D7">
        <w:t>:</w:t>
      </w:r>
      <w:r>
        <w:t xml:space="preserve"> Read </w:t>
      </w:r>
      <w:r w:rsidR="004711B5">
        <w:t>this section</w:t>
      </w:r>
      <w:r>
        <w:t xml:space="preserve"> before viewing the anchor papers or attempting the practice sets.</w:t>
      </w:r>
    </w:p>
    <w:p w:rsidR="00D12388" w:rsidRDefault="003928D7" w:rsidP="003928D7">
      <w:r>
        <w:t>Critical Information</w:t>
      </w:r>
      <w:r w:rsidR="00D12388">
        <w:t>:</w:t>
      </w:r>
      <w:r w:rsidR="004711B5">
        <w:t xml:space="preserve"> Provides d</w:t>
      </w:r>
      <w:r w:rsidR="00D12388">
        <w:t>etails related to administering and scoring performance assessments</w:t>
      </w:r>
    </w:p>
    <w:p w:rsidR="003928D7" w:rsidRDefault="003928D7" w:rsidP="003928D7">
      <w:r>
        <w:t>Focused Holistic Scoring: Begins to differentiate scoring and grading</w:t>
      </w:r>
    </w:p>
    <w:p w:rsidR="003928D7" w:rsidRDefault="003928D7" w:rsidP="003928D7">
      <w:pPr>
        <w:numPr>
          <w:ilvl w:val="1"/>
          <w:numId w:val="7"/>
        </w:numPr>
      </w:pPr>
      <w:r>
        <w:t>Papers for the local performance assessment are scored, not graded.</w:t>
      </w:r>
    </w:p>
    <w:p w:rsidR="003928D7" w:rsidRDefault="003928D7" w:rsidP="003928D7">
      <w:pPr>
        <w:numPr>
          <w:ilvl w:val="1"/>
          <w:numId w:val="7"/>
        </w:numPr>
      </w:pPr>
      <w:r>
        <w:t>Focused holistic scoring is the evaluation of writing proficiency based on specific elements or domains of writing.</w:t>
      </w:r>
    </w:p>
    <w:p w:rsidR="003928D7" w:rsidRDefault="003928D7" w:rsidP="00560316">
      <w:pPr>
        <w:numPr>
          <w:ilvl w:val="2"/>
          <w:numId w:val="7"/>
        </w:numPr>
        <w:ind w:left="1800"/>
      </w:pPr>
      <w:r>
        <w:t>Each domain is scored holistically, independently of the other, and the score reflects the reader’s overall impression according to the rubric’s features.</w:t>
      </w:r>
    </w:p>
    <w:p w:rsidR="003928D7" w:rsidRDefault="003928D7" w:rsidP="00560316">
      <w:pPr>
        <w:numPr>
          <w:ilvl w:val="2"/>
          <w:numId w:val="7"/>
        </w:numPr>
        <w:ind w:left="1800"/>
      </w:pPr>
      <w:r>
        <w:t>The scorers weigh the student’s relative strengths or weaknesses and then assign a score point for each domain that most accurately described the attributes of the paper.</w:t>
      </w:r>
    </w:p>
    <w:p w:rsidR="003928D7" w:rsidRDefault="003928D7" w:rsidP="00560316">
      <w:pPr>
        <w:numPr>
          <w:ilvl w:val="2"/>
          <w:numId w:val="7"/>
        </w:numPr>
        <w:ind w:left="1800"/>
      </w:pPr>
      <w:r>
        <w:t>Example: A paper assigned a score of 3 in composing and written expression might have some characteristics of a 2-level paper and some characteristics of a 4-level paper, but overall, its 3-level characteristics predominate.</w:t>
      </w:r>
    </w:p>
    <w:p w:rsidR="003928D7" w:rsidRDefault="003928D7" w:rsidP="003928D7">
      <w:pPr>
        <w:numPr>
          <w:ilvl w:val="1"/>
          <w:numId w:val="7"/>
        </w:numPr>
      </w:pPr>
      <w:r>
        <w:t>Questions Answered About Holistic Scoring</w:t>
      </w:r>
    </w:p>
    <w:p w:rsidR="003928D7" w:rsidRDefault="003928D7" w:rsidP="00560316">
      <w:pPr>
        <w:numPr>
          <w:ilvl w:val="2"/>
          <w:numId w:val="7"/>
        </w:numPr>
        <w:ind w:left="1800"/>
      </w:pPr>
      <w:r>
        <w:t xml:space="preserve">Should a writing sample lose a point if there is no counterclaim and it does not have 5 paragraphs? No, the score should reflect the reader’s overall impression, based on the rubric. The rubric mentions including counterclaims </w:t>
      </w:r>
      <w:r w:rsidRPr="003928D7">
        <w:rPr>
          <w:i/>
        </w:rPr>
        <w:t>when appropriate</w:t>
      </w:r>
      <w:r>
        <w:t>. The rubric does not mention formulaic writing.</w:t>
      </w:r>
    </w:p>
    <w:p w:rsidR="003928D7" w:rsidRDefault="003928D7" w:rsidP="00542AE4">
      <w:pPr>
        <w:numPr>
          <w:ilvl w:val="2"/>
          <w:numId w:val="7"/>
        </w:numPr>
        <w:ind w:left="1800"/>
      </w:pPr>
      <w:r>
        <w:t>Should a writing sample gain a point if there are quotation marks, one question mark, and one exclamation point, regardless of appropriate use AND there is a thesis statement at the end of the introductory paragraph? No, the score should reflect the reader’s overall impression, based on the rubric. The rubric does not mention tallying the variety of punctuation to award a higher score, nor does it mention formulaic writing.</w:t>
      </w:r>
    </w:p>
    <w:p w:rsidR="003928D7" w:rsidRDefault="009448DA" w:rsidP="00542AE4">
      <w:pPr>
        <w:numPr>
          <w:ilvl w:val="2"/>
          <w:numId w:val="7"/>
        </w:numPr>
        <w:ind w:left="1800"/>
      </w:pPr>
      <w:r>
        <w:t>Rubrics</w:t>
      </w:r>
      <w:r w:rsidR="003928D7">
        <w:t xml:space="preserve"> vs. </w:t>
      </w:r>
      <w:r>
        <w:t>Preferences</w:t>
      </w:r>
      <w:r w:rsidR="003928D7">
        <w:t>: An educator’s classroom preferences and rules for writing, if not included in the Virginia writing rubrics, are not features to score for the local HS</w:t>
      </w:r>
      <w:r w:rsidR="004711B5">
        <w:t xml:space="preserve"> assessment. </w:t>
      </w:r>
    </w:p>
    <w:p w:rsidR="009448DA" w:rsidRDefault="00B24115" w:rsidP="009448DA">
      <w:pPr>
        <w:numPr>
          <w:ilvl w:val="1"/>
          <w:numId w:val="7"/>
        </w:numPr>
      </w:pPr>
      <w:r>
        <w:t>Within each score point, there is a r</w:t>
      </w:r>
      <w:r w:rsidR="009448DA">
        <w:t>ange of papers</w:t>
      </w:r>
      <w:r w:rsidRPr="00B24115">
        <w:t xml:space="preserve"> </w:t>
      </w:r>
      <w:r>
        <w:t>representing lower/middle/upper ends.</w:t>
      </w:r>
    </w:p>
    <w:p w:rsidR="009448DA" w:rsidRPr="00B24115" w:rsidRDefault="009448DA" w:rsidP="00542AE4">
      <w:pPr>
        <w:numPr>
          <w:ilvl w:val="2"/>
          <w:numId w:val="7"/>
        </w:numPr>
        <w:ind w:left="1800"/>
        <w:rPr>
          <w:b/>
        </w:rPr>
      </w:pPr>
      <w:r w:rsidRPr="009448DA">
        <w:rPr>
          <w:b/>
        </w:rPr>
        <w:t>Papers receiving the same score point may look very different from each other.</w:t>
      </w:r>
    </w:p>
    <w:p w:rsidR="009448DA" w:rsidRDefault="00B24115" w:rsidP="009448DA">
      <w:r>
        <w:lastRenderedPageBreak/>
        <w:t>Scorers must use rubrics in conjunction with anchor papers to score writing samples</w:t>
      </w:r>
      <w:r w:rsidRPr="009448DA">
        <w:t xml:space="preserve"> </w:t>
      </w:r>
      <w:r>
        <w:t xml:space="preserve">appropriately. </w:t>
      </w:r>
    </w:p>
    <w:p w:rsidR="00B24115" w:rsidRDefault="00542AE4" w:rsidP="009448DA">
      <w:pPr>
        <w:numPr>
          <w:ilvl w:val="1"/>
          <w:numId w:val="7"/>
        </w:numPr>
      </w:pPr>
      <w:r>
        <w:t xml:space="preserve">Rubrics are </w:t>
      </w:r>
      <w:r w:rsidR="009448DA">
        <w:t>generic and provide the general descr</w:t>
      </w:r>
      <w:r w:rsidR="00B24115">
        <w:t>iption of a score point.</w:t>
      </w:r>
    </w:p>
    <w:p w:rsidR="009448DA" w:rsidRDefault="00B24115" w:rsidP="009448DA">
      <w:pPr>
        <w:numPr>
          <w:ilvl w:val="1"/>
          <w:numId w:val="7"/>
        </w:numPr>
      </w:pPr>
      <w:r>
        <w:t>A</w:t>
      </w:r>
      <w:r w:rsidR="009448DA">
        <w:t>nchor papers provide examples of student writing that illustrate the rubric descriptions.</w:t>
      </w:r>
    </w:p>
    <w:p w:rsidR="009448DA" w:rsidRDefault="009448DA" w:rsidP="009448DA">
      <w:r>
        <w:t>Anchor Paper Sets</w:t>
      </w:r>
      <w:r w:rsidR="004961C3">
        <w:t xml:space="preserve"> (developed using feedback from Virginia educators serving on rangefinding committees in 2012 and 2019)</w:t>
      </w:r>
    </w:p>
    <w:p w:rsidR="009448DA" w:rsidRDefault="004961C3" w:rsidP="009448DA">
      <w:pPr>
        <w:numPr>
          <w:ilvl w:val="1"/>
          <w:numId w:val="7"/>
        </w:numPr>
      </w:pPr>
      <w:r>
        <w:t>Prospective scorers should b</w:t>
      </w:r>
      <w:r w:rsidR="009448DA">
        <w:t>ecome familiar with and continuously revisit the anchor paper sets</w:t>
      </w:r>
      <w:r w:rsidR="003B5BA1">
        <w:t>.</w:t>
      </w:r>
    </w:p>
    <w:p w:rsidR="009448DA" w:rsidRDefault="009448DA" w:rsidP="009448DA">
      <w:pPr>
        <w:numPr>
          <w:ilvl w:val="1"/>
          <w:numId w:val="7"/>
        </w:numPr>
      </w:pPr>
      <w:r>
        <w:t xml:space="preserve">Annotations describe how a paper </w:t>
      </w:r>
      <w:r w:rsidR="003B5BA1">
        <w:t xml:space="preserve">meets the expectations </w:t>
      </w:r>
      <w:r>
        <w:t>in the rubric for a specific score point</w:t>
      </w:r>
      <w:r w:rsidR="003B5BA1">
        <w:t>.</w:t>
      </w:r>
    </w:p>
    <w:p w:rsidR="004961C3" w:rsidRDefault="004961C3" w:rsidP="004961C3">
      <w:r>
        <w:t>Practice Sets (4 sets of papers; available for independent use by prospective scorers after training)</w:t>
      </w:r>
    </w:p>
    <w:p w:rsidR="004961C3" w:rsidRDefault="004961C3" w:rsidP="004961C3">
      <w:pPr>
        <w:numPr>
          <w:ilvl w:val="1"/>
          <w:numId w:val="7"/>
        </w:numPr>
      </w:pPr>
      <w:r>
        <w:t>Assign one score for Composing/Written Expression and one score for Usage and Mechanics</w:t>
      </w:r>
    </w:p>
    <w:p w:rsidR="004961C3" w:rsidRDefault="00542AE4" w:rsidP="004961C3">
      <w:pPr>
        <w:numPr>
          <w:ilvl w:val="1"/>
          <w:numId w:val="7"/>
        </w:numPr>
      </w:pPr>
      <w:r>
        <w:t>Results appear</w:t>
      </w:r>
      <w:r w:rsidR="004961C3">
        <w:t xml:space="preserve"> in Scoring Summary after all papers in</w:t>
      </w:r>
      <w:r w:rsidR="00372C8F">
        <w:t xml:space="preserve"> a practice set have been scored</w:t>
      </w:r>
      <w:r w:rsidR="004961C3">
        <w:t>.</w:t>
      </w:r>
    </w:p>
    <w:p w:rsidR="004961C3" w:rsidRDefault="004961C3" w:rsidP="004961C3">
      <w:r>
        <w:t>Scoring Summary (use these results to adjust scoring practice as necessary)</w:t>
      </w:r>
    </w:p>
    <w:p w:rsidR="00372C8F" w:rsidRDefault="00372C8F" w:rsidP="00372C8F">
      <w:pPr>
        <w:numPr>
          <w:ilvl w:val="1"/>
          <w:numId w:val="7"/>
        </w:numPr>
      </w:pPr>
      <w:r>
        <w:t>Exact: shows the percentage of scores assigned that were an exact match to the actual scores</w:t>
      </w:r>
    </w:p>
    <w:p w:rsidR="00372C8F" w:rsidRDefault="00372C8F" w:rsidP="00372C8F">
      <w:pPr>
        <w:numPr>
          <w:ilvl w:val="1"/>
          <w:numId w:val="7"/>
        </w:numPr>
      </w:pPr>
      <w:r>
        <w:t>Adjacent: shows the percentage of scores assigned that were within one score point of actual scores</w:t>
      </w:r>
    </w:p>
    <w:p w:rsidR="00372C8F" w:rsidRDefault="00372C8F" w:rsidP="00542AE4">
      <w:pPr>
        <w:numPr>
          <w:ilvl w:val="2"/>
          <w:numId w:val="7"/>
        </w:numPr>
        <w:ind w:left="1800"/>
      </w:pPr>
      <w:r>
        <w:t>For a practice set paper with an actual score of 3 in Usage and Mechanics, a low adjacent score would be 2 and a high adjacent score would be 4.</w:t>
      </w:r>
    </w:p>
    <w:p w:rsidR="00372C8F" w:rsidRDefault="00372C8F" w:rsidP="00542AE4">
      <w:pPr>
        <w:numPr>
          <w:ilvl w:val="2"/>
          <w:numId w:val="7"/>
        </w:numPr>
        <w:ind w:left="1800"/>
      </w:pPr>
      <w:r>
        <w:t>When scores are mostly adjacent and not exact, review the practice set annotations to gain a better understan</w:t>
      </w:r>
      <w:r w:rsidR="00542AE4">
        <w:t>ding of why each actual score i</w:t>
      </w:r>
      <w:r>
        <w:t>s assigned before attempting the next set.</w:t>
      </w:r>
    </w:p>
    <w:p w:rsidR="00372C8F" w:rsidRDefault="00372C8F" w:rsidP="00372C8F">
      <w:r>
        <w:t>Verification Set Scoring (only available to users who are logged in; not available to guest users)</w:t>
      </w:r>
    </w:p>
    <w:p w:rsidR="00B24115" w:rsidRDefault="00372C8F" w:rsidP="00B24115">
      <w:pPr>
        <w:numPr>
          <w:ilvl w:val="1"/>
          <w:numId w:val="7"/>
        </w:numPr>
      </w:pPr>
      <w:r>
        <w:t>Prospective scorers must use these Verification Sets in o</w:t>
      </w:r>
      <w:r w:rsidR="00A215A4">
        <w:t>rder to qualify to score</w:t>
      </w:r>
      <w:r>
        <w:t xml:space="preserve"> writing samples that will be used to determine verified credits.</w:t>
      </w:r>
      <w:r w:rsidR="00B24115">
        <w:t xml:space="preserve"> Scorers must qualify annually.</w:t>
      </w:r>
    </w:p>
    <w:p w:rsidR="00372C8F" w:rsidRDefault="00372C8F" w:rsidP="00372C8F">
      <w:pPr>
        <w:numPr>
          <w:ilvl w:val="1"/>
          <w:numId w:val="7"/>
        </w:numPr>
      </w:pPr>
      <w:r>
        <w:t>Exact agreement of 70% or more with the actual scores on each domain in ONE verification set is required to qualify. (Adjacent scores do NOT count as exact agreement.)</w:t>
      </w:r>
    </w:p>
    <w:p w:rsidR="00372C8F" w:rsidRDefault="00372C8F" w:rsidP="00372C8F">
      <w:pPr>
        <w:numPr>
          <w:ilvl w:val="1"/>
          <w:numId w:val="7"/>
        </w:numPr>
      </w:pPr>
      <w:r>
        <w:t>Scorers having 10% or more non-adjacent scores in more t</w:t>
      </w:r>
      <w:r w:rsidR="00B24115">
        <w:t>han one domain will not qualify.</w:t>
      </w:r>
    </w:p>
    <w:p w:rsidR="00372C8F" w:rsidRDefault="00372C8F" w:rsidP="00372C8F">
      <w:r>
        <w:t xml:space="preserve">Locally Scoring Student Writing Samples </w:t>
      </w:r>
    </w:p>
    <w:p w:rsidR="00372C8F" w:rsidRDefault="00B24115" w:rsidP="00372C8F">
      <w:pPr>
        <w:numPr>
          <w:ilvl w:val="1"/>
          <w:numId w:val="7"/>
        </w:numPr>
      </w:pPr>
      <w:r>
        <w:t>B</w:t>
      </w:r>
      <w:r w:rsidR="00372C8F">
        <w:t>est practice</w:t>
      </w:r>
      <w:r>
        <w:t>:</w:t>
      </w:r>
      <w:r w:rsidR="00560316">
        <w:t xml:space="preserve"> 2 readers score every paper; score for each</w:t>
      </w:r>
      <w:r w:rsidR="00372C8F">
        <w:t xml:space="preserve"> domain </w:t>
      </w:r>
      <w:r>
        <w:t xml:space="preserve">is sum </w:t>
      </w:r>
      <w:r w:rsidR="00560316">
        <w:t xml:space="preserve">of </w:t>
      </w:r>
      <w:r>
        <w:t>score</w:t>
      </w:r>
      <w:r w:rsidR="00560316">
        <w:t>s from each reader</w:t>
      </w:r>
      <w:r>
        <w:t>.</w:t>
      </w:r>
    </w:p>
    <w:p w:rsidR="00372C8F" w:rsidRDefault="00372C8F" w:rsidP="00372C8F">
      <w:pPr>
        <w:numPr>
          <w:ilvl w:val="1"/>
          <w:numId w:val="7"/>
        </w:numPr>
      </w:pPr>
      <w:r>
        <w:t>Establish local protocols for resolving non-adj</w:t>
      </w:r>
      <w:r w:rsidR="00210FB1">
        <w:t>acent scores. Recommendation: A 3</w:t>
      </w:r>
      <w:r w:rsidR="00210FB1" w:rsidRPr="00210FB1">
        <w:rPr>
          <w:vertAlign w:val="superscript"/>
        </w:rPr>
        <w:t>rd</w:t>
      </w:r>
      <w:r w:rsidR="00210FB1">
        <w:t xml:space="preserve"> </w:t>
      </w:r>
      <w:r>
        <w:t>qualified reader rescore</w:t>
      </w:r>
      <w:r w:rsidR="00210FB1">
        <w:t>s</w:t>
      </w:r>
      <w:r>
        <w:t xml:space="preserve"> the domain on which the scores are no</w:t>
      </w:r>
      <w:r w:rsidR="00210FB1">
        <w:t>n-adjacent, with the highest 2 of the 3</w:t>
      </w:r>
      <w:r>
        <w:t xml:space="preserve"> scores accepted.</w:t>
      </w:r>
    </w:p>
    <w:p w:rsidR="00210FB1" w:rsidRDefault="00210FB1" w:rsidP="00560316">
      <w:pPr>
        <w:numPr>
          <w:ilvl w:val="1"/>
          <w:numId w:val="7"/>
        </w:numPr>
      </w:pPr>
      <w:r>
        <w:t>Calc</w:t>
      </w:r>
      <w:r w:rsidR="00560316">
        <w:t>ulating total score: Comp./Written Exp. score counts 3 times, Usage/Mech. score counts 1 time.</w:t>
      </w:r>
    </w:p>
    <w:p w:rsidR="004711B5" w:rsidRDefault="00560316" w:rsidP="00560316">
      <w:pPr>
        <w:numPr>
          <w:ilvl w:val="1"/>
          <w:numId w:val="7"/>
        </w:numPr>
      </w:pPr>
      <w:r>
        <w:t>There is n</w:t>
      </w:r>
      <w:r w:rsidR="00210FB1">
        <w:t xml:space="preserve">o numerical score </w:t>
      </w:r>
      <w:r>
        <w:t xml:space="preserve">that </w:t>
      </w:r>
      <w:r w:rsidR="00210FB1">
        <w:t>correlates to a passing or failing score for an individual writing sample; individual writing samples do not pass or fail.</w:t>
      </w:r>
    </w:p>
    <w:p w:rsidR="00210FB1" w:rsidRDefault="00560316" w:rsidP="00B12E12">
      <w:pPr>
        <w:numPr>
          <w:ilvl w:val="1"/>
          <w:numId w:val="7"/>
        </w:numPr>
      </w:pPr>
      <w:r>
        <w:t>B</w:t>
      </w:r>
      <w:r w:rsidR="00210FB1">
        <w:t>est practice</w:t>
      </w:r>
      <w:r>
        <w:t>:</w:t>
      </w:r>
      <w:r w:rsidR="00210FB1">
        <w:t xml:space="preserve"> incorporate quality co</w:t>
      </w:r>
      <w:r>
        <w:t>ntrol activities throughout scoring window,</w:t>
      </w:r>
      <w:r w:rsidR="00542AE4">
        <w:t xml:space="preserve"> train/ qualify scorers near this window,</w:t>
      </w:r>
      <w:r>
        <w:t xml:space="preserve"> </w:t>
      </w:r>
      <w:r w:rsidR="00210FB1">
        <w:t>include a way to requalify/ recalibrate scorers immediately before scoring student samples or during an extended scoring window.</w:t>
      </w:r>
    </w:p>
    <w:p w:rsidR="00210FB1" w:rsidRDefault="00210FB1" w:rsidP="00210FB1">
      <w:pPr>
        <w:pStyle w:val="Heading2"/>
      </w:pPr>
      <w:r>
        <w:t>More Uses for Understand Scoring</w:t>
      </w:r>
    </w:p>
    <w:p w:rsidR="00542AE4" w:rsidRDefault="00210FB1" w:rsidP="00DC6C39">
      <w:r>
        <w:t>Helpful to anyone producing, teaching, or scoring high</w:t>
      </w:r>
      <w:r w:rsidR="00560316">
        <w:t xml:space="preserve"> school </w:t>
      </w:r>
      <w:r w:rsidR="00542AE4">
        <w:t>writing, regardless of how credit is verified</w:t>
      </w:r>
    </w:p>
    <w:p w:rsidR="00210FB1" w:rsidRDefault="00210FB1" w:rsidP="00DC6C39">
      <w:r>
        <w:t>Use examples and annotations to help identify strengths and weaknesses in students’ writing and make a plan for how students may improve their writing.</w:t>
      </w:r>
    </w:p>
    <w:p w:rsidR="00210FB1" w:rsidRDefault="00210FB1" w:rsidP="00210FB1">
      <w:r>
        <w:t>Share exemplars with students during instruction to increase unde</w:t>
      </w:r>
      <w:r w:rsidR="00560316">
        <w:t>rstanding of how rubrics are</w:t>
      </w:r>
      <w:r>
        <w:t xml:space="preserve"> applied.</w:t>
      </w:r>
    </w:p>
    <w:p w:rsidR="00210FB1" w:rsidRDefault="00210FB1" w:rsidP="00210FB1">
      <w:pPr>
        <w:pStyle w:val="Heading2"/>
      </w:pPr>
      <w:r>
        <w:t>What has NOT changed? Grade 8</w:t>
      </w:r>
    </w:p>
    <w:p w:rsidR="00210FB1" w:rsidRDefault="00210FB1" w:rsidP="00210FB1">
      <w:r>
        <w:t>No changes to the Grade 8 Writing SOL test blueprint or test items</w:t>
      </w:r>
    </w:p>
    <w:p w:rsidR="00210FB1" w:rsidRDefault="00210FB1" w:rsidP="00210FB1">
      <w:r>
        <w:t>Continues to be a required Virginia assessment, and training materials remain available</w:t>
      </w:r>
    </w:p>
    <w:p w:rsidR="00210FB1" w:rsidRPr="00F15D1F" w:rsidRDefault="00210FB1" w:rsidP="00210FB1">
      <w:r>
        <w:t xml:space="preserve">Continues to be aligned to the 2010 </w:t>
      </w:r>
      <w:r w:rsidRPr="00210FB1">
        <w:rPr>
          <w:i/>
        </w:rPr>
        <w:t>English SOL</w:t>
      </w:r>
    </w:p>
    <w:p w:rsidR="00F15D1F" w:rsidRDefault="00F15D1F" w:rsidP="00F15D1F">
      <w:pPr>
        <w:pStyle w:val="Heading2"/>
      </w:pPr>
      <w:r>
        <w:t>What is coming next?</w:t>
      </w:r>
    </w:p>
    <w:p w:rsidR="00F15D1F" w:rsidRDefault="00F15D1F" w:rsidP="00F15D1F">
      <w:r>
        <w:t>Grade 5: VDOE will host rangefinding in April 2</w:t>
      </w:r>
      <w:r w:rsidR="00542AE4">
        <w:t xml:space="preserve">020. Grade 5 </w:t>
      </w:r>
      <w:r>
        <w:t xml:space="preserve">materials </w:t>
      </w:r>
      <w:r w:rsidR="00542AE4">
        <w:t xml:space="preserve">in Understand Scoring </w:t>
      </w:r>
      <w:r>
        <w:t>w</w:t>
      </w:r>
      <w:r w:rsidR="00542AE4">
        <w:t>ill be updated for local</w:t>
      </w:r>
      <w:r>
        <w:t xml:space="preserve"> performance assessment and aligned to the 2017 </w:t>
      </w:r>
      <w:r w:rsidRPr="00F15D1F">
        <w:rPr>
          <w:i/>
        </w:rPr>
        <w:t>English SOL</w:t>
      </w:r>
      <w:r>
        <w:rPr>
          <w:i/>
        </w:rPr>
        <w:t>.</w:t>
      </w:r>
    </w:p>
    <w:p w:rsidR="00210FB1" w:rsidRDefault="00F15D1F" w:rsidP="00542AE4">
      <w:r>
        <w:t xml:space="preserve">Additional information will be provided for using Performance Level Descriptors aligned to 2017 English SOL to assist school divisions in evaluating </w:t>
      </w:r>
      <w:r w:rsidR="00542AE4">
        <w:t>bodies of evidence that used to determine</w:t>
      </w:r>
      <w:r>
        <w:t xml:space="preserve"> verified credits.</w:t>
      </w:r>
    </w:p>
    <w:p w:rsidR="00372C8F" w:rsidRDefault="00372C8F" w:rsidP="00372C8F">
      <w:pPr>
        <w:numPr>
          <w:ilvl w:val="0"/>
          <w:numId w:val="0"/>
        </w:numPr>
      </w:pPr>
    </w:p>
    <w:sectPr w:rsidR="00372C8F" w:rsidSect="00542AE4">
      <w:footerReference w:type="default" r:id="rId1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1C" w:rsidRDefault="00C23E1C" w:rsidP="003034A7">
      <w:r>
        <w:separator/>
      </w:r>
    </w:p>
  </w:endnote>
  <w:endnote w:type="continuationSeparator" w:id="0">
    <w:p w:rsidR="00C23E1C" w:rsidRDefault="00C23E1C" w:rsidP="0030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88" w:rsidRDefault="00D12388" w:rsidP="00D12388">
    <w:pPr>
      <w:pStyle w:val="Footer"/>
      <w:numPr>
        <w:ilvl w:val="0"/>
        <w:numId w:val="0"/>
      </w:numPr>
      <w:tabs>
        <w:tab w:val="clear" w:pos="4680"/>
        <w:tab w:val="clear" w:pos="9360"/>
        <w:tab w:val="right" w:pos="10530"/>
        <w:tab w:val="center" w:pos="10800"/>
      </w:tabs>
      <w:ind w:left="360"/>
    </w:pPr>
    <w:r>
      <w:t>Comprehensive Literacy Webinar Series</w:t>
    </w:r>
    <w:r w:rsidRPr="00D12388">
      <w:t xml:space="preserve"> </w:t>
    </w:r>
    <w:r>
      <w:tab/>
      <w:t>January 2020</w:t>
    </w:r>
  </w:p>
  <w:p w:rsidR="003034A7" w:rsidRDefault="003034A7" w:rsidP="003034A7">
    <w:pPr>
      <w:pStyle w:val="Footer"/>
      <w:numPr>
        <w:ilvl w:val="0"/>
        <w:numId w:val="0"/>
      </w:numPr>
      <w:tabs>
        <w:tab w:val="clear" w:pos="9360"/>
        <w:tab w:val="right" w:pos="10530"/>
      </w:tabs>
      <w:ind w:left="360"/>
    </w:pPr>
    <w:r w:rsidRPr="0062482D">
      <w:t xml:space="preserve">Department of Student Assessment, </w:t>
    </w:r>
    <w:r>
      <w:t>Accountability &amp; ESEA Programs</w:t>
    </w:r>
    <w:r>
      <w:tab/>
    </w:r>
  </w:p>
  <w:p w:rsidR="003034A7" w:rsidRPr="0062482D" w:rsidRDefault="003034A7" w:rsidP="003034A7">
    <w:pPr>
      <w:pStyle w:val="Footer"/>
      <w:numPr>
        <w:ilvl w:val="0"/>
        <w:numId w:val="0"/>
      </w:numPr>
      <w:ind w:left="360"/>
    </w:pPr>
    <w:r>
      <w:t>Department of Learning &amp; Innovation</w:t>
    </w:r>
  </w:p>
  <w:p w:rsidR="003034A7" w:rsidRDefault="003034A7" w:rsidP="003034A7">
    <w:pPr>
      <w:pStyle w:val="Footer"/>
      <w:numPr>
        <w:ilvl w:val="0"/>
        <w:numId w:val="0"/>
      </w:numP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1C" w:rsidRDefault="00C23E1C" w:rsidP="003034A7">
      <w:r>
        <w:separator/>
      </w:r>
    </w:p>
  </w:footnote>
  <w:footnote w:type="continuationSeparator" w:id="0">
    <w:p w:rsidR="00C23E1C" w:rsidRDefault="00C23E1C" w:rsidP="00303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99"/>
    <w:multiLevelType w:val="hybridMultilevel"/>
    <w:tmpl w:val="E5D25020"/>
    <w:lvl w:ilvl="0" w:tplc="65F86602">
      <w:start w:val="1"/>
      <w:numFmt w:val="bullet"/>
      <w:lvlText w:val="•"/>
      <w:lvlJc w:val="left"/>
      <w:pPr>
        <w:tabs>
          <w:tab w:val="num" w:pos="720"/>
        </w:tabs>
        <w:ind w:left="720" w:hanging="360"/>
      </w:pPr>
      <w:rPr>
        <w:rFonts w:ascii="Arial" w:hAnsi="Arial" w:hint="default"/>
      </w:rPr>
    </w:lvl>
    <w:lvl w:ilvl="1" w:tplc="F45AD110">
      <w:start w:val="61"/>
      <w:numFmt w:val="bullet"/>
      <w:lvlText w:val="–"/>
      <w:lvlJc w:val="left"/>
      <w:pPr>
        <w:tabs>
          <w:tab w:val="num" w:pos="1440"/>
        </w:tabs>
        <w:ind w:left="1440" w:hanging="360"/>
      </w:pPr>
      <w:rPr>
        <w:rFonts w:ascii="Arial" w:hAnsi="Arial" w:hint="default"/>
      </w:rPr>
    </w:lvl>
    <w:lvl w:ilvl="2" w:tplc="E1C0120C" w:tentative="1">
      <w:start w:val="1"/>
      <w:numFmt w:val="bullet"/>
      <w:lvlText w:val="•"/>
      <w:lvlJc w:val="left"/>
      <w:pPr>
        <w:tabs>
          <w:tab w:val="num" w:pos="2160"/>
        </w:tabs>
        <w:ind w:left="2160" w:hanging="360"/>
      </w:pPr>
      <w:rPr>
        <w:rFonts w:ascii="Arial" w:hAnsi="Arial" w:hint="default"/>
      </w:rPr>
    </w:lvl>
    <w:lvl w:ilvl="3" w:tplc="CADE5B06" w:tentative="1">
      <w:start w:val="1"/>
      <w:numFmt w:val="bullet"/>
      <w:lvlText w:val="•"/>
      <w:lvlJc w:val="left"/>
      <w:pPr>
        <w:tabs>
          <w:tab w:val="num" w:pos="2880"/>
        </w:tabs>
        <w:ind w:left="2880" w:hanging="360"/>
      </w:pPr>
      <w:rPr>
        <w:rFonts w:ascii="Arial" w:hAnsi="Arial" w:hint="default"/>
      </w:rPr>
    </w:lvl>
    <w:lvl w:ilvl="4" w:tplc="534C1334" w:tentative="1">
      <w:start w:val="1"/>
      <w:numFmt w:val="bullet"/>
      <w:lvlText w:val="•"/>
      <w:lvlJc w:val="left"/>
      <w:pPr>
        <w:tabs>
          <w:tab w:val="num" w:pos="3600"/>
        </w:tabs>
        <w:ind w:left="3600" w:hanging="360"/>
      </w:pPr>
      <w:rPr>
        <w:rFonts w:ascii="Arial" w:hAnsi="Arial" w:hint="default"/>
      </w:rPr>
    </w:lvl>
    <w:lvl w:ilvl="5" w:tplc="31920E30" w:tentative="1">
      <w:start w:val="1"/>
      <w:numFmt w:val="bullet"/>
      <w:lvlText w:val="•"/>
      <w:lvlJc w:val="left"/>
      <w:pPr>
        <w:tabs>
          <w:tab w:val="num" w:pos="4320"/>
        </w:tabs>
        <w:ind w:left="4320" w:hanging="360"/>
      </w:pPr>
      <w:rPr>
        <w:rFonts w:ascii="Arial" w:hAnsi="Arial" w:hint="default"/>
      </w:rPr>
    </w:lvl>
    <w:lvl w:ilvl="6" w:tplc="B68A5A5C" w:tentative="1">
      <w:start w:val="1"/>
      <w:numFmt w:val="bullet"/>
      <w:lvlText w:val="•"/>
      <w:lvlJc w:val="left"/>
      <w:pPr>
        <w:tabs>
          <w:tab w:val="num" w:pos="5040"/>
        </w:tabs>
        <w:ind w:left="5040" w:hanging="360"/>
      </w:pPr>
      <w:rPr>
        <w:rFonts w:ascii="Arial" w:hAnsi="Arial" w:hint="default"/>
      </w:rPr>
    </w:lvl>
    <w:lvl w:ilvl="7" w:tplc="FFA8796E" w:tentative="1">
      <w:start w:val="1"/>
      <w:numFmt w:val="bullet"/>
      <w:lvlText w:val="•"/>
      <w:lvlJc w:val="left"/>
      <w:pPr>
        <w:tabs>
          <w:tab w:val="num" w:pos="5760"/>
        </w:tabs>
        <w:ind w:left="5760" w:hanging="360"/>
      </w:pPr>
      <w:rPr>
        <w:rFonts w:ascii="Arial" w:hAnsi="Arial" w:hint="default"/>
      </w:rPr>
    </w:lvl>
    <w:lvl w:ilvl="8" w:tplc="0DDC1B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382C8F"/>
    <w:multiLevelType w:val="hybridMultilevel"/>
    <w:tmpl w:val="5AD8A824"/>
    <w:lvl w:ilvl="0" w:tplc="11E86DB0">
      <w:start w:val="1"/>
      <w:numFmt w:val="bullet"/>
      <w:lvlText w:val="•"/>
      <w:lvlJc w:val="left"/>
      <w:pPr>
        <w:tabs>
          <w:tab w:val="num" w:pos="720"/>
        </w:tabs>
        <w:ind w:left="720" w:hanging="360"/>
      </w:pPr>
      <w:rPr>
        <w:rFonts w:ascii="Arial" w:hAnsi="Arial" w:hint="default"/>
      </w:rPr>
    </w:lvl>
    <w:lvl w:ilvl="1" w:tplc="722221AE">
      <w:start w:val="61"/>
      <w:numFmt w:val="bullet"/>
      <w:lvlText w:val="–"/>
      <w:lvlJc w:val="left"/>
      <w:pPr>
        <w:tabs>
          <w:tab w:val="num" w:pos="1440"/>
        </w:tabs>
        <w:ind w:left="1440" w:hanging="360"/>
      </w:pPr>
      <w:rPr>
        <w:rFonts w:ascii="Arial" w:hAnsi="Arial" w:hint="default"/>
      </w:rPr>
    </w:lvl>
    <w:lvl w:ilvl="2" w:tplc="6E6ED0AC" w:tentative="1">
      <w:start w:val="1"/>
      <w:numFmt w:val="bullet"/>
      <w:lvlText w:val="•"/>
      <w:lvlJc w:val="left"/>
      <w:pPr>
        <w:tabs>
          <w:tab w:val="num" w:pos="2160"/>
        </w:tabs>
        <w:ind w:left="2160" w:hanging="360"/>
      </w:pPr>
      <w:rPr>
        <w:rFonts w:ascii="Arial" w:hAnsi="Arial" w:hint="default"/>
      </w:rPr>
    </w:lvl>
    <w:lvl w:ilvl="3" w:tplc="06703826" w:tentative="1">
      <w:start w:val="1"/>
      <w:numFmt w:val="bullet"/>
      <w:lvlText w:val="•"/>
      <w:lvlJc w:val="left"/>
      <w:pPr>
        <w:tabs>
          <w:tab w:val="num" w:pos="2880"/>
        </w:tabs>
        <w:ind w:left="2880" w:hanging="360"/>
      </w:pPr>
      <w:rPr>
        <w:rFonts w:ascii="Arial" w:hAnsi="Arial" w:hint="default"/>
      </w:rPr>
    </w:lvl>
    <w:lvl w:ilvl="4" w:tplc="707EFB78" w:tentative="1">
      <w:start w:val="1"/>
      <w:numFmt w:val="bullet"/>
      <w:lvlText w:val="•"/>
      <w:lvlJc w:val="left"/>
      <w:pPr>
        <w:tabs>
          <w:tab w:val="num" w:pos="3600"/>
        </w:tabs>
        <w:ind w:left="3600" w:hanging="360"/>
      </w:pPr>
      <w:rPr>
        <w:rFonts w:ascii="Arial" w:hAnsi="Arial" w:hint="default"/>
      </w:rPr>
    </w:lvl>
    <w:lvl w:ilvl="5" w:tplc="F6723AF8" w:tentative="1">
      <w:start w:val="1"/>
      <w:numFmt w:val="bullet"/>
      <w:lvlText w:val="•"/>
      <w:lvlJc w:val="left"/>
      <w:pPr>
        <w:tabs>
          <w:tab w:val="num" w:pos="4320"/>
        </w:tabs>
        <w:ind w:left="4320" w:hanging="360"/>
      </w:pPr>
      <w:rPr>
        <w:rFonts w:ascii="Arial" w:hAnsi="Arial" w:hint="default"/>
      </w:rPr>
    </w:lvl>
    <w:lvl w:ilvl="6" w:tplc="A8E0468E" w:tentative="1">
      <w:start w:val="1"/>
      <w:numFmt w:val="bullet"/>
      <w:lvlText w:val="•"/>
      <w:lvlJc w:val="left"/>
      <w:pPr>
        <w:tabs>
          <w:tab w:val="num" w:pos="5040"/>
        </w:tabs>
        <w:ind w:left="5040" w:hanging="360"/>
      </w:pPr>
      <w:rPr>
        <w:rFonts w:ascii="Arial" w:hAnsi="Arial" w:hint="default"/>
      </w:rPr>
    </w:lvl>
    <w:lvl w:ilvl="7" w:tplc="340612B2" w:tentative="1">
      <w:start w:val="1"/>
      <w:numFmt w:val="bullet"/>
      <w:lvlText w:val="•"/>
      <w:lvlJc w:val="left"/>
      <w:pPr>
        <w:tabs>
          <w:tab w:val="num" w:pos="5760"/>
        </w:tabs>
        <w:ind w:left="5760" w:hanging="360"/>
      </w:pPr>
      <w:rPr>
        <w:rFonts w:ascii="Arial" w:hAnsi="Arial" w:hint="default"/>
      </w:rPr>
    </w:lvl>
    <w:lvl w:ilvl="8" w:tplc="7CB80B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DF653C"/>
    <w:multiLevelType w:val="hybridMultilevel"/>
    <w:tmpl w:val="03761BFA"/>
    <w:lvl w:ilvl="0" w:tplc="B5EC9A48">
      <w:start w:val="1"/>
      <w:numFmt w:val="bullet"/>
      <w:pStyle w:val="Nor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C20C7"/>
    <w:multiLevelType w:val="hybridMultilevel"/>
    <w:tmpl w:val="720E23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A367418" w:tentative="1">
      <w:start w:val="1"/>
      <w:numFmt w:val="bullet"/>
      <w:lvlText w:val="•"/>
      <w:lvlJc w:val="left"/>
      <w:pPr>
        <w:tabs>
          <w:tab w:val="num" w:pos="2160"/>
        </w:tabs>
        <w:ind w:left="2160" w:hanging="360"/>
      </w:pPr>
      <w:rPr>
        <w:rFonts w:ascii="Arial" w:hAnsi="Arial" w:hint="default"/>
      </w:rPr>
    </w:lvl>
    <w:lvl w:ilvl="3" w:tplc="410E14DE" w:tentative="1">
      <w:start w:val="1"/>
      <w:numFmt w:val="bullet"/>
      <w:lvlText w:val="•"/>
      <w:lvlJc w:val="left"/>
      <w:pPr>
        <w:tabs>
          <w:tab w:val="num" w:pos="2880"/>
        </w:tabs>
        <w:ind w:left="2880" w:hanging="360"/>
      </w:pPr>
      <w:rPr>
        <w:rFonts w:ascii="Arial" w:hAnsi="Arial" w:hint="default"/>
      </w:rPr>
    </w:lvl>
    <w:lvl w:ilvl="4" w:tplc="081093B8" w:tentative="1">
      <w:start w:val="1"/>
      <w:numFmt w:val="bullet"/>
      <w:lvlText w:val="•"/>
      <w:lvlJc w:val="left"/>
      <w:pPr>
        <w:tabs>
          <w:tab w:val="num" w:pos="3600"/>
        </w:tabs>
        <w:ind w:left="3600" w:hanging="360"/>
      </w:pPr>
      <w:rPr>
        <w:rFonts w:ascii="Arial" w:hAnsi="Arial" w:hint="default"/>
      </w:rPr>
    </w:lvl>
    <w:lvl w:ilvl="5" w:tplc="6136DC7E" w:tentative="1">
      <w:start w:val="1"/>
      <w:numFmt w:val="bullet"/>
      <w:lvlText w:val="•"/>
      <w:lvlJc w:val="left"/>
      <w:pPr>
        <w:tabs>
          <w:tab w:val="num" w:pos="4320"/>
        </w:tabs>
        <w:ind w:left="4320" w:hanging="360"/>
      </w:pPr>
      <w:rPr>
        <w:rFonts w:ascii="Arial" w:hAnsi="Arial" w:hint="default"/>
      </w:rPr>
    </w:lvl>
    <w:lvl w:ilvl="6" w:tplc="789EC7BA" w:tentative="1">
      <w:start w:val="1"/>
      <w:numFmt w:val="bullet"/>
      <w:lvlText w:val="•"/>
      <w:lvlJc w:val="left"/>
      <w:pPr>
        <w:tabs>
          <w:tab w:val="num" w:pos="5040"/>
        </w:tabs>
        <w:ind w:left="5040" w:hanging="360"/>
      </w:pPr>
      <w:rPr>
        <w:rFonts w:ascii="Arial" w:hAnsi="Arial" w:hint="default"/>
      </w:rPr>
    </w:lvl>
    <w:lvl w:ilvl="7" w:tplc="AB84618C" w:tentative="1">
      <w:start w:val="1"/>
      <w:numFmt w:val="bullet"/>
      <w:lvlText w:val="•"/>
      <w:lvlJc w:val="left"/>
      <w:pPr>
        <w:tabs>
          <w:tab w:val="num" w:pos="5760"/>
        </w:tabs>
        <w:ind w:left="5760" w:hanging="360"/>
      </w:pPr>
      <w:rPr>
        <w:rFonts w:ascii="Arial" w:hAnsi="Arial" w:hint="default"/>
      </w:rPr>
    </w:lvl>
    <w:lvl w:ilvl="8" w:tplc="C7186A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FC0D52"/>
    <w:multiLevelType w:val="hybridMultilevel"/>
    <w:tmpl w:val="82AA5024"/>
    <w:lvl w:ilvl="0" w:tplc="88883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D4207"/>
    <w:multiLevelType w:val="hybridMultilevel"/>
    <w:tmpl w:val="B502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451C3"/>
    <w:multiLevelType w:val="hybridMultilevel"/>
    <w:tmpl w:val="A24263EE"/>
    <w:lvl w:ilvl="0" w:tplc="1362DC08">
      <w:start w:val="1"/>
      <w:numFmt w:val="upperRoman"/>
      <w:lvlText w:val="%1."/>
      <w:lvlJc w:val="left"/>
      <w:pPr>
        <w:tabs>
          <w:tab w:val="num" w:pos="720"/>
        </w:tabs>
        <w:ind w:left="720" w:hanging="360"/>
      </w:pPr>
      <w:rPr>
        <w:rFonts w:ascii="Times New Roman" w:eastAsiaTheme="minorHAnsi" w:hAnsi="Times New Roman" w:cs="Times New Roman"/>
      </w:rPr>
    </w:lvl>
    <w:lvl w:ilvl="1" w:tplc="17DCDCC0">
      <w:start w:val="1"/>
      <w:numFmt w:val="upperLetter"/>
      <w:lvlText w:val="%2."/>
      <w:lvlJc w:val="left"/>
      <w:pPr>
        <w:tabs>
          <w:tab w:val="num" w:pos="1440"/>
        </w:tabs>
        <w:ind w:left="1440" w:hanging="360"/>
      </w:pPr>
      <w:rPr>
        <w:rFonts w:hint="default"/>
      </w:rPr>
    </w:lvl>
    <w:lvl w:ilvl="2" w:tplc="9A367418" w:tentative="1">
      <w:start w:val="1"/>
      <w:numFmt w:val="bullet"/>
      <w:lvlText w:val="•"/>
      <w:lvlJc w:val="left"/>
      <w:pPr>
        <w:tabs>
          <w:tab w:val="num" w:pos="2160"/>
        </w:tabs>
        <w:ind w:left="2160" w:hanging="360"/>
      </w:pPr>
      <w:rPr>
        <w:rFonts w:ascii="Arial" w:hAnsi="Arial" w:hint="default"/>
      </w:rPr>
    </w:lvl>
    <w:lvl w:ilvl="3" w:tplc="410E14DE" w:tentative="1">
      <w:start w:val="1"/>
      <w:numFmt w:val="bullet"/>
      <w:lvlText w:val="•"/>
      <w:lvlJc w:val="left"/>
      <w:pPr>
        <w:tabs>
          <w:tab w:val="num" w:pos="2880"/>
        </w:tabs>
        <w:ind w:left="2880" w:hanging="360"/>
      </w:pPr>
      <w:rPr>
        <w:rFonts w:ascii="Arial" w:hAnsi="Arial" w:hint="default"/>
      </w:rPr>
    </w:lvl>
    <w:lvl w:ilvl="4" w:tplc="081093B8" w:tentative="1">
      <w:start w:val="1"/>
      <w:numFmt w:val="bullet"/>
      <w:lvlText w:val="•"/>
      <w:lvlJc w:val="left"/>
      <w:pPr>
        <w:tabs>
          <w:tab w:val="num" w:pos="3600"/>
        </w:tabs>
        <w:ind w:left="3600" w:hanging="360"/>
      </w:pPr>
      <w:rPr>
        <w:rFonts w:ascii="Arial" w:hAnsi="Arial" w:hint="default"/>
      </w:rPr>
    </w:lvl>
    <w:lvl w:ilvl="5" w:tplc="6136DC7E" w:tentative="1">
      <w:start w:val="1"/>
      <w:numFmt w:val="bullet"/>
      <w:lvlText w:val="•"/>
      <w:lvlJc w:val="left"/>
      <w:pPr>
        <w:tabs>
          <w:tab w:val="num" w:pos="4320"/>
        </w:tabs>
        <w:ind w:left="4320" w:hanging="360"/>
      </w:pPr>
      <w:rPr>
        <w:rFonts w:ascii="Arial" w:hAnsi="Arial" w:hint="default"/>
      </w:rPr>
    </w:lvl>
    <w:lvl w:ilvl="6" w:tplc="789EC7BA" w:tentative="1">
      <w:start w:val="1"/>
      <w:numFmt w:val="bullet"/>
      <w:lvlText w:val="•"/>
      <w:lvlJc w:val="left"/>
      <w:pPr>
        <w:tabs>
          <w:tab w:val="num" w:pos="5040"/>
        </w:tabs>
        <w:ind w:left="5040" w:hanging="360"/>
      </w:pPr>
      <w:rPr>
        <w:rFonts w:ascii="Arial" w:hAnsi="Arial" w:hint="default"/>
      </w:rPr>
    </w:lvl>
    <w:lvl w:ilvl="7" w:tplc="AB84618C" w:tentative="1">
      <w:start w:val="1"/>
      <w:numFmt w:val="bullet"/>
      <w:lvlText w:val="•"/>
      <w:lvlJc w:val="left"/>
      <w:pPr>
        <w:tabs>
          <w:tab w:val="num" w:pos="5760"/>
        </w:tabs>
        <w:ind w:left="5760" w:hanging="360"/>
      </w:pPr>
      <w:rPr>
        <w:rFonts w:ascii="Arial" w:hAnsi="Arial" w:hint="default"/>
      </w:rPr>
    </w:lvl>
    <w:lvl w:ilvl="8" w:tplc="C7186A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EF1D80"/>
    <w:multiLevelType w:val="hybridMultilevel"/>
    <w:tmpl w:val="D310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6"/>
  </w:num>
  <w:num w:numId="6">
    <w:abstractNumId w:val="6"/>
    <w:lvlOverride w:ilvl="0">
      <w:lvl w:ilvl="0" w:tplc="1362DC08">
        <w:start w:val="1"/>
        <w:numFmt w:val="upperLetter"/>
        <w:lvlText w:val="%1."/>
        <w:lvlJc w:val="left"/>
        <w:pPr>
          <w:tabs>
            <w:tab w:val="num" w:pos="1440"/>
          </w:tabs>
          <w:ind w:left="1440" w:hanging="360"/>
        </w:pPr>
        <w:rPr>
          <w:rFonts w:hint="default"/>
        </w:rPr>
      </w:lvl>
    </w:lvlOverride>
    <w:lvlOverride w:ilvl="1">
      <w:lvl w:ilvl="1" w:tplc="17DCDCC0" w:tentative="1">
        <w:start w:val="1"/>
        <w:numFmt w:val="lowerLetter"/>
        <w:lvlText w:val="%2."/>
        <w:lvlJc w:val="left"/>
        <w:pPr>
          <w:ind w:left="1440" w:hanging="360"/>
        </w:pPr>
      </w:lvl>
    </w:lvlOverride>
    <w:lvlOverride w:ilvl="2">
      <w:lvl w:ilvl="2" w:tplc="9A367418" w:tentative="1">
        <w:start w:val="1"/>
        <w:numFmt w:val="lowerRoman"/>
        <w:lvlText w:val="%3."/>
        <w:lvlJc w:val="right"/>
        <w:pPr>
          <w:ind w:left="2160" w:hanging="180"/>
        </w:pPr>
      </w:lvl>
    </w:lvlOverride>
    <w:lvlOverride w:ilvl="3">
      <w:lvl w:ilvl="3" w:tplc="410E14DE" w:tentative="1">
        <w:start w:val="1"/>
        <w:numFmt w:val="decimal"/>
        <w:lvlText w:val="%4."/>
        <w:lvlJc w:val="left"/>
        <w:pPr>
          <w:ind w:left="2880" w:hanging="360"/>
        </w:pPr>
      </w:lvl>
    </w:lvlOverride>
    <w:lvlOverride w:ilvl="4">
      <w:lvl w:ilvl="4" w:tplc="081093B8" w:tentative="1">
        <w:start w:val="1"/>
        <w:numFmt w:val="lowerLetter"/>
        <w:lvlText w:val="%5."/>
        <w:lvlJc w:val="left"/>
        <w:pPr>
          <w:ind w:left="3600" w:hanging="360"/>
        </w:pPr>
      </w:lvl>
    </w:lvlOverride>
    <w:lvlOverride w:ilvl="5">
      <w:lvl w:ilvl="5" w:tplc="6136DC7E" w:tentative="1">
        <w:start w:val="1"/>
        <w:numFmt w:val="lowerRoman"/>
        <w:lvlText w:val="%6."/>
        <w:lvlJc w:val="right"/>
        <w:pPr>
          <w:ind w:left="4320" w:hanging="180"/>
        </w:pPr>
      </w:lvl>
    </w:lvlOverride>
    <w:lvlOverride w:ilvl="6">
      <w:lvl w:ilvl="6" w:tplc="789EC7BA" w:tentative="1">
        <w:start w:val="1"/>
        <w:numFmt w:val="decimal"/>
        <w:lvlText w:val="%7."/>
        <w:lvlJc w:val="left"/>
        <w:pPr>
          <w:ind w:left="5040" w:hanging="360"/>
        </w:pPr>
      </w:lvl>
    </w:lvlOverride>
    <w:lvlOverride w:ilvl="7">
      <w:lvl w:ilvl="7" w:tplc="AB84618C" w:tentative="1">
        <w:start w:val="1"/>
        <w:numFmt w:val="lowerLetter"/>
        <w:lvlText w:val="%8."/>
        <w:lvlJc w:val="left"/>
        <w:pPr>
          <w:ind w:left="5760" w:hanging="360"/>
        </w:pPr>
      </w:lvl>
    </w:lvlOverride>
    <w:lvlOverride w:ilvl="8">
      <w:lvl w:ilvl="8" w:tplc="C7186AE4" w:tentative="1">
        <w:start w:val="1"/>
        <w:numFmt w:val="lowerRoman"/>
        <w:lvlText w:val="%9."/>
        <w:lvlJc w:val="right"/>
        <w:pPr>
          <w:ind w:left="6480" w:hanging="180"/>
        </w:pPr>
      </w:lvl>
    </w:lvlOverride>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AD"/>
    <w:rsid w:val="001E4BF5"/>
    <w:rsid w:val="00210FB1"/>
    <w:rsid w:val="003034A7"/>
    <w:rsid w:val="003274AD"/>
    <w:rsid w:val="00372C8F"/>
    <w:rsid w:val="003928D7"/>
    <w:rsid w:val="003B5BA1"/>
    <w:rsid w:val="00403C4F"/>
    <w:rsid w:val="004711B5"/>
    <w:rsid w:val="004961C3"/>
    <w:rsid w:val="00542AE4"/>
    <w:rsid w:val="00560316"/>
    <w:rsid w:val="007E2087"/>
    <w:rsid w:val="00932C27"/>
    <w:rsid w:val="009448DA"/>
    <w:rsid w:val="00A215A4"/>
    <w:rsid w:val="00B24115"/>
    <w:rsid w:val="00B50F70"/>
    <w:rsid w:val="00C23E1C"/>
    <w:rsid w:val="00D12388"/>
    <w:rsid w:val="00D6666B"/>
    <w:rsid w:val="00EC685C"/>
    <w:rsid w:val="00F1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313FE-3D39-47E4-966C-CA04E19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AD"/>
    <w:pPr>
      <w:numPr>
        <w:numId w:val="7"/>
      </w:numPr>
      <w:spacing w:after="0" w:line="240" w:lineRule="auto"/>
      <w:ind w:left="1080"/>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932C27"/>
    <w:pPr>
      <w:numPr>
        <w:numId w:val="0"/>
      </w:numPr>
      <w:ind w:left="720" w:hanging="360"/>
      <w:outlineLvl w:val="0"/>
    </w:pPr>
    <w:rPr>
      <w:b/>
    </w:rPr>
  </w:style>
  <w:style w:type="paragraph" w:styleId="Heading2">
    <w:name w:val="heading 2"/>
    <w:basedOn w:val="Normal"/>
    <w:next w:val="Normal"/>
    <w:link w:val="Heading2Char"/>
    <w:uiPriority w:val="9"/>
    <w:unhideWhenUsed/>
    <w:qFormat/>
    <w:rsid w:val="00932C27"/>
    <w:pPr>
      <w:keepNext/>
      <w:keepLines/>
      <w:numPr>
        <w:numId w:val="0"/>
      </w:numPr>
      <w:spacing w:before="40"/>
      <w:ind w:left="360" w:firstLine="270"/>
      <w:outlineLvl w:val="1"/>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4AD"/>
    <w:pPr>
      <w:jc w:val="center"/>
    </w:pPr>
    <w:rPr>
      <w:rFonts w:eastAsiaTheme="majorEastAsia"/>
      <w:b/>
      <w:spacing w:val="-10"/>
      <w:kern w:val="28"/>
    </w:rPr>
  </w:style>
  <w:style w:type="character" w:customStyle="1" w:styleId="TitleChar">
    <w:name w:val="Title Char"/>
    <w:basedOn w:val="DefaultParagraphFont"/>
    <w:link w:val="Title"/>
    <w:uiPriority w:val="10"/>
    <w:rsid w:val="003274AD"/>
    <w:rPr>
      <w:rFonts w:ascii="Times New Roman" w:eastAsiaTheme="majorEastAsia" w:hAnsi="Times New Roman" w:cs="Times New Roman"/>
      <w:b/>
      <w:spacing w:val="-10"/>
      <w:kern w:val="28"/>
      <w:sz w:val="24"/>
      <w:szCs w:val="24"/>
    </w:rPr>
  </w:style>
  <w:style w:type="paragraph" w:styleId="Subtitle">
    <w:name w:val="Subtitle"/>
    <w:basedOn w:val="Normal"/>
    <w:next w:val="Normal"/>
    <w:link w:val="SubtitleChar"/>
    <w:uiPriority w:val="11"/>
    <w:qFormat/>
    <w:rsid w:val="003274AD"/>
    <w:pPr>
      <w:numPr>
        <w:ilvl w:val="1"/>
        <w:numId w:val="0"/>
      </w:numPr>
      <w:jc w:val="center"/>
    </w:pPr>
    <w:rPr>
      <w:rFonts w:eastAsiaTheme="minorEastAsia"/>
      <w:i/>
      <w:color w:val="000000" w:themeColor="text1"/>
    </w:rPr>
  </w:style>
  <w:style w:type="character" w:customStyle="1" w:styleId="SubtitleChar">
    <w:name w:val="Subtitle Char"/>
    <w:basedOn w:val="DefaultParagraphFont"/>
    <w:link w:val="Subtitle"/>
    <w:uiPriority w:val="11"/>
    <w:rsid w:val="003274AD"/>
    <w:rPr>
      <w:rFonts w:ascii="Times New Roman" w:eastAsiaTheme="minorEastAsia" w:hAnsi="Times New Roman" w:cs="Times New Roman"/>
      <w:i/>
      <w:color w:val="000000" w:themeColor="text1"/>
      <w:sz w:val="24"/>
      <w:szCs w:val="24"/>
    </w:rPr>
  </w:style>
  <w:style w:type="character" w:customStyle="1" w:styleId="Heading1Char">
    <w:name w:val="Heading 1 Char"/>
    <w:basedOn w:val="DefaultParagraphFont"/>
    <w:link w:val="Heading1"/>
    <w:uiPriority w:val="9"/>
    <w:rsid w:val="00932C27"/>
    <w:rPr>
      <w:rFonts w:ascii="Times New Roman" w:hAnsi="Times New Roman" w:cs="Times New Roman"/>
      <w:b/>
      <w:sz w:val="24"/>
      <w:szCs w:val="24"/>
    </w:rPr>
  </w:style>
  <w:style w:type="paragraph" w:styleId="ListParagraph">
    <w:name w:val="List Paragraph"/>
    <w:basedOn w:val="Normal"/>
    <w:uiPriority w:val="34"/>
    <w:qFormat/>
    <w:rsid w:val="003274AD"/>
    <w:pPr>
      <w:ind w:left="720"/>
    </w:pPr>
  </w:style>
  <w:style w:type="character" w:customStyle="1" w:styleId="Heading2Char">
    <w:name w:val="Heading 2 Char"/>
    <w:basedOn w:val="DefaultParagraphFont"/>
    <w:link w:val="Heading2"/>
    <w:uiPriority w:val="9"/>
    <w:rsid w:val="00932C27"/>
    <w:rPr>
      <w:rFonts w:ascii="Times New Roman" w:eastAsiaTheme="majorEastAsia" w:hAnsi="Times New Roman" w:cs="Times New Roman"/>
      <w:sz w:val="24"/>
      <w:szCs w:val="24"/>
    </w:rPr>
  </w:style>
  <w:style w:type="character" w:styleId="Hyperlink">
    <w:name w:val="Hyperlink"/>
    <w:basedOn w:val="DefaultParagraphFont"/>
    <w:uiPriority w:val="99"/>
    <w:unhideWhenUsed/>
    <w:rsid w:val="003274AD"/>
    <w:rPr>
      <w:color w:val="0563C1" w:themeColor="hyperlink"/>
      <w:u w:val="single"/>
    </w:rPr>
  </w:style>
  <w:style w:type="paragraph" w:styleId="BalloonText">
    <w:name w:val="Balloon Text"/>
    <w:basedOn w:val="Normal"/>
    <w:link w:val="BalloonTextChar"/>
    <w:uiPriority w:val="99"/>
    <w:semiHidden/>
    <w:unhideWhenUsed/>
    <w:rsid w:val="00327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AD"/>
    <w:rPr>
      <w:rFonts w:ascii="Segoe UI" w:hAnsi="Segoe UI" w:cs="Segoe UI"/>
      <w:sz w:val="18"/>
      <w:szCs w:val="18"/>
    </w:rPr>
  </w:style>
  <w:style w:type="paragraph" w:styleId="Header">
    <w:name w:val="header"/>
    <w:basedOn w:val="Normal"/>
    <w:link w:val="HeaderChar"/>
    <w:uiPriority w:val="99"/>
    <w:unhideWhenUsed/>
    <w:rsid w:val="003034A7"/>
    <w:pPr>
      <w:tabs>
        <w:tab w:val="center" w:pos="4680"/>
        <w:tab w:val="right" w:pos="9360"/>
      </w:tabs>
    </w:pPr>
  </w:style>
  <w:style w:type="character" w:customStyle="1" w:styleId="HeaderChar">
    <w:name w:val="Header Char"/>
    <w:basedOn w:val="DefaultParagraphFont"/>
    <w:link w:val="Header"/>
    <w:uiPriority w:val="99"/>
    <w:rsid w:val="003034A7"/>
    <w:rPr>
      <w:rFonts w:ascii="Times New Roman" w:hAnsi="Times New Roman" w:cs="Times New Roman"/>
      <w:sz w:val="24"/>
      <w:szCs w:val="24"/>
    </w:rPr>
  </w:style>
  <w:style w:type="paragraph" w:styleId="Footer">
    <w:name w:val="footer"/>
    <w:basedOn w:val="Normal"/>
    <w:link w:val="FooterChar"/>
    <w:uiPriority w:val="99"/>
    <w:unhideWhenUsed/>
    <w:rsid w:val="003034A7"/>
    <w:pPr>
      <w:tabs>
        <w:tab w:val="center" w:pos="4680"/>
        <w:tab w:val="right" w:pos="9360"/>
      </w:tabs>
    </w:pPr>
  </w:style>
  <w:style w:type="character" w:customStyle="1" w:styleId="FooterChar">
    <w:name w:val="Footer Char"/>
    <w:basedOn w:val="DefaultParagraphFont"/>
    <w:link w:val="Footer"/>
    <w:uiPriority w:val="99"/>
    <w:rsid w:val="003034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testing/sol/standards_docs/english/2017/implementation-support-201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e.virginia.gov/testing/sol/standards_docs/english/index.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oe.virginia.gov/testing/sol/standards_docs/english/guidelines-eoc-writing-final.docx" TargetMode="External"/><Relationship Id="rId4" Type="http://schemas.openxmlformats.org/officeDocument/2006/relationships/webSettings" Target="webSettings.xml"/><Relationship Id="rId9" Type="http://schemas.openxmlformats.org/officeDocument/2006/relationships/hyperlink" Target="http://www.doe.virginia.gov/testing/sol/standards_docs/english/2017/stds-all-english-2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understand scoring summary</vt:lpstr>
    </vt:vector>
  </TitlesOfParts>
  <Company>Virginia IT Infrastructure Partnership</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scoring summary</dc:title>
  <dc:subject/>
  <dc:creator>VITA Program</dc:creator>
  <cp:keywords/>
  <dc:description/>
  <cp:lastModifiedBy>Nogueras, Jill (DOE)</cp:lastModifiedBy>
  <cp:revision>2</cp:revision>
  <dcterms:created xsi:type="dcterms:W3CDTF">2020-01-30T15:40:00Z</dcterms:created>
  <dcterms:modified xsi:type="dcterms:W3CDTF">2020-01-30T15:40:00Z</dcterms:modified>
</cp:coreProperties>
</file>