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A308B" w14:textId="77777777" w:rsidR="00902F45" w:rsidRPr="00E04794" w:rsidRDefault="00FE41D4" w:rsidP="00F37B18">
      <w:pPr>
        <w:pStyle w:val="Heading1"/>
        <w:spacing w:after="480"/>
        <w:ind w:left="720" w:right="1080"/>
      </w:pPr>
      <w:r w:rsidRPr="00E04794">
        <w:t xml:space="preserve">Overview of the </w:t>
      </w:r>
      <w:r w:rsidR="00F37B18">
        <w:t>Career and Technical Education (</w:t>
      </w:r>
      <w:r w:rsidR="006838E8" w:rsidRPr="00E04794">
        <w:t>CTE</w:t>
      </w:r>
      <w:r w:rsidR="00F37B18">
        <w:t>)</w:t>
      </w:r>
      <w:r w:rsidR="006838E8" w:rsidRPr="00E04794">
        <w:t xml:space="preserve"> </w:t>
      </w:r>
      <w:r w:rsidR="006562ED" w:rsidRPr="00E04794">
        <w:t>Federal Program Monitoring</w:t>
      </w:r>
      <w:r w:rsidR="00E04794" w:rsidRPr="00E04794">
        <w:br/>
      </w:r>
      <w:r w:rsidR="005D132F" w:rsidRPr="00E04794">
        <w:t xml:space="preserve"> Review</w:t>
      </w:r>
      <w:r w:rsidRPr="00E04794">
        <w:t xml:space="preserve"> Process</w:t>
      </w:r>
    </w:p>
    <w:p w14:paraId="0C551B0B" w14:textId="77777777" w:rsidR="004F5C2D" w:rsidRPr="00E04794" w:rsidRDefault="00B4374C" w:rsidP="008E6312">
      <w:pPr>
        <w:pStyle w:val="Heading2"/>
        <w:rPr>
          <w:sz w:val="28"/>
        </w:rPr>
      </w:pPr>
      <w:r w:rsidRPr="00E04794">
        <w:t>Purpose</w:t>
      </w:r>
    </w:p>
    <w:p w14:paraId="37FB209B" w14:textId="77777777" w:rsidR="00EA168D" w:rsidRPr="00E04794" w:rsidRDefault="00EA168D" w:rsidP="00E04794"/>
    <w:p w14:paraId="381EA935" w14:textId="77777777" w:rsidR="004F5C2D" w:rsidRPr="00E04794" w:rsidRDefault="004F5C2D" w:rsidP="00E04794">
      <w:pPr>
        <w:pStyle w:val="ListParagraph"/>
        <w:numPr>
          <w:ilvl w:val="0"/>
          <w:numId w:val="17"/>
        </w:numPr>
        <w:tabs>
          <w:tab w:val="left" w:pos="540"/>
          <w:tab w:val="left" w:pos="1080"/>
        </w:tabs>
        <w:ind w:left="540" w:hanging="270"/>
      </w:pPr>
      <w:r w:rsidRPr="00E04794">
        <w:rPr>
          <w:color w:val="000000"/>
          <w:kern w:val="24"/>
        </w:rPr>
        <w:t xml:space="preserve">Fulfill the Virginia Department of Education’s obligation to the U.S. Department of Education to ensure school divisions are meeting the requirements of the </w:t>
      </w:r>
      <w:r w:rsidR="00C36D13">
        <w:rPr>
          <w:color w:val="000000"/>
          <w:kern w:val="24"/>
        </w:rPr>
        <w:t>Strengthening Career and Technical Education for the 21</w:t>
      </w:r>
      <w:r w:rsidR="00C36D13" w:rsidRPr="00C36D13">
        <w:rPr>
          <w:color w:val="000000"/>
          <w:kern w:val="24"/>
          <w:vertAlign w:val="superscript"/>
        </w:rPr>
        <w:t>st</w:t>
      </w:r>
      <w:r w:rsidR="00C36D13">
        <w:rPr>
          <w:color w:val="000000"/>
          <w:kern w:val="24"/>
        </w:rPr>
        <w:t xml:space="preserve"> Century Act (</w:t>
      </w:r>
      <w:r w:rsidR="00F37B18">
        <w:rPr>
          <w:color w:val="000000"/>
          <w:kern w:val="24"/>
        </w:rPr>
        <w:t>Perkins V</w:t>
      </w:r>
      <w:r w:rsidR="00C36D13">
        <w:rPr>
          <w:color w:val="000000"/>
          <w:kern w:val="24"/>
        </w:rPr>
        <w:t>)</w:t>
      </w:r>
    </w:p>
    <w:p w14:paraId="0B4E3A5D" w14:textId="77777777" w:rsidR="004F5C2D" w:rsidRPr="00E04794" w:rsidRDefault="004F5C2D" w:rsidP="00E04794">
      <w:pPr>
        <w:pStyle w:val="ListParagraph"/>
        <w:tabs>
          <w:tab w:val="left" w:pos="540"/>
          <w:tab w:val="left" w:pos="1080"/>
        </w:tabs>
        <w:ind w:left="900" w:hanging="630"/>
      </w:pPr>
    </w:p>
    <w:p w14:paraId="5321A8AC" w14:textId="77777777" w:rsidR="00A21A70" w:rsidRPr="00E04794" w:rsidRDefault="004F5C2D" w:rsidP="00E04794">
      <w:pPr>
        <w:pStyle w:val="ListParagraph"/>
        <w:numPr>
          <w:ilvl w:val="0"/>
          <w:numId w:val="15"/>
        </w:numPr>
        <w:tabs>
          <w:tab w:val="left" w:pos="540"/>
          <w:tab w:val="left" w:pos="1080"/>
        </w:tabs>
        <w:ind w:left="540" w:hanging="270"/>
      </w:pPr>
      <w:r w:rsidRPr="00E04794">
        <w:t>Assess school division’s compliance with state and federal laws, regulations, and standards, including:</w:t>
      </w:r>
    </w:p>
    <w:p w14:paraId="4D50B2BD" w14:textId="77777777" w:rsidR="00A21A70" w:rsidRPr="00E04794" w:rsidRDefault="004F5C2D" w:rsidP="00E04794">
      <w:pPr>
        <w:pStyle w:val="ListParagraph"/>
        <w:numPr>
          <w:ilvl w:val="1"/>
          <w:numId w:val="15"/>
        </w:numPr>
        <w:tabs>
          <w:tab w:val="left" w:pos="540"/>
          <w:tab w:val="left" w:pos="1080"/>
        </w:tabs>
        <w:ind w:left="1350"/>
      </w:pPr>
      <w:r w:rsidRPr="00E04794">
        <w:t>Virginia Administrative Code (8 VAC 20-120)</w:t>
      </w:r>
    </w:p>
    <w:p w14:paraId="2BE5D7D9" w14:textId="77777777" w:rsidR="004F5C2D" w:rsidRPr="00E04794" w:rsidRDefault="00C36D13" w:rsidP="00E04794">
      <w:pPr>
        <w:pStyle w:val="ListParagraph"/>
        <w:numPr>
          <w:ilvl w:val="1"/>
          <w:numId w:val="15"/>
        </w:numPr>
        <w:tabs>
          <w:tab w:val="left" w:pos="540"/>
          <w:tab w:val="left" w:pos="1080"/>
        </w:tabs>
        <w:ind w:left="1350"/>
      </w:pPr>
      <w:r>
        <w:t xml:space="preserve">Perkins </w:t>
      </w:r>
      <w:r w:rsidR="004F5C2D" w:rsidRPr="00E04794">
        <w:t>V</w:t>
      </w:r>
      <w:r w:rsidR="00F37B18">
        <w:t xml:space="preserve"> (Section 134)</w:t>
      </w:r>
    </w:p>
    <w:p w14:paraId="2B967BD8" w14:textId="77777777" w:rsidR="004F5C2D" w:rsidRPr="00E04794" w:rsidRDefault="004F5C2D" w:rsidP="00E04794">
      <w:pPr>
        <w:pStyle w:val="ListParagraph"/>
        <w:tabs>
          <w:tab w:val="left" w:pos="540"/>
          <w:tab w:val="left" w:pos="1080"/>
        </w:tabs>
        <w:ind w:left="1620" w:hanging="630"/>
      </w:pPr>
      <w:r w:rsidRPr="00E04794">
        <w:rPr>
          <w:color w:val="000000"/>
          <w:kern w:val="24"/>
          <w:sz w:val="48"/>
          <w:szCs w:val="48"/>
        </w:rPr>
        <w:t xml:space="preserve"> </w:t>
      </w:r>
    </w:p>
    <w:p w14:paraId="4719E968" w14:textId="77777777" w:rsidR="00A21A70" w:rsidRPr="00E04794" w:rsidRDefault="004F5C2D" w:rsidP="00E04794">
      <w:pPr>
        <w:pStyle w:val="ListParagraph"/>
        <w:numPr>
          <w:ilvl w:val="0"/>
          <w:numId w:val="15"/>
        </w:numPr>
        <w:tabs>
          <w:tab w:val="left" w:pos="540"/>
          <w:tab w:val="left" w:pos="1080"/>
        </w:tabs>
        <w:ind w:left="900" w:hanging="630"/>
      </w:pPr>
      <w:r w:rsidRPr="00E04794">
        <w:rPr>
          <w:color w:val="000000"/>
          <w:kern w:val="24"/>
        </w:rPr>
        <w:t>Provide technical assistance to school divisions to work toward and/or maintain compliance</w:t>
      </w:r>
    </w:p>
    <w:p w14:paraId="481C0FC0" w14:textId="77777777" w:rsidR="00E54EBE" w:rsidRPr="00E04794" w:rsidRDefault="00E54EBE" w:rsidP="002F257F">
      <w:pPr>
        <w:ind w:left="720" w:hanging="720"/>
      </w:pPr>
    </w:p>
    <w:p w14:paraId="779511D6" w14:textId="77777777" w:rsidR="0084552B" w:rsidRPr="008E6312" w:rsidRDefault="00EA168D" w:rsidP="008E6312">
      <w:pPr>
        <w:pStyle w:val="Heading2"/>
      </w:pPr>
      <w:r w:rsidRPr="008E6312">
        <w:t>Target</w:t>
      </w:r>
      <w:r w:rsidR="00C42DDF" w:rsidRPr="008E6312">
        <w:t>ing</w:t>
      </w:r>
      <w:r w:rsidR="004855CD" w:rsidRPr="008E6312">
        <w:t xml:space="preserve"> Plan Criteria for Identifying </w:t>
      </w:r>
      <w:r w:rsidR="00432954" w:rsidRPr="008E6312">
        <w:t>Seven</w:t>
      </w:r>
      <w:r w:rsidR="004855CD" w:rsidRPr="008E6312">
        <w:t xml:space="preserve"> </w:t>
      </w:r>
      <w:r w:rsidR="00EB165C" w:rsidRPr="008E6312">
        <w:t xml:space="preserve">School </w:t>
      </w:r>
      <w:r w:rsidRPr="008E6312">
        <w:t>Divisions</w:t>
      </w:r>
      <w:r w:rsidR="006D32A9" w:rsidRPr="008E6312">
        <w:t xml:space="preserve"> for</w:t>
      </w:r>
      <w:r w:rsidR="00E04794" w:rsidRPr="008E6312">
        <w:br/>
      </w:r>
      <w:r w:rsidR="006D32A9" w:rsidRPr="008E6312">
        <w:t>Review</w:t>
      </w:r>
      <w:r w:rsidR="004855CD" w:rsidRPr="008E6312">
        <w:t xml:space="preserve"> from the Targeting Pool Cycle </w:t>
      </w:r>
    </w:p>
    <w:p w14:paraId="2CDA3DD2" w14:textId="77777777" w:rsidR="00676B1C" w:rsidRDefault="00676B1C" w:rsidP="00E04794">
      <w:pPr>
        <w:jc w:val="center"/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  <w:tblDescription w:val="Table containing the Indicators and Point Values for identifyng four school divisions for review fromt he Targeting Pool Cycle."/>
      </w:tblPr>
      <w:tblGrid>
        <w:gridCol w:w="4959"/>
        <w:gridCol w:w="4391"/>
      </w:tblGrid>
      <w:tr w:rsidR="00407192" w:rsidRPr="00E04794" w14:paraId="3F9AD349" w14:textId="77777777" w:rsidTr="00676B1C">
        <w:trPr>
          <w:trHeight w:val="701"/>
          <w:tblHeader/>
        </w:trPr>
        <w:tc>
          <w:tcPr>
            <w:tcW w:w="5077" w:type="dxa"/>
            <w:vAlign w:val="center"/>
          </w:tcPr>
          <w:p w14:paraId="4B827D87" w14:textId="77777777" w:rsidR="00DF6890" w:rsidRPr="00676B1C" w:rsidRDefault="00407192" w:rsidP="00676B1C">
            <w:pPr>
              <w:ind w:left="-108"/>
              <w:jc w:val="center"/>
            </w:pPr>
            <w:r w:rsidRPr="00676B1C">
              <w:rPr>
                <w:b/>
              </w:rPr>
              <w:t>Indicator</w:t>
            </w:r>
            <w:r w:rsidRPr="00676B1C">
              <w:rPr>
                <w:b/>
                <w:i/>
              </w:rPr>
              <w:t>s</w:t>
            </w:r>
          </w:p>
        </w:tc>
        <w:tc>
          <w:tcPr>
            <w:tcW w:w="4499" w:type="dxa"/>
            <w:vAlign w:val="center"/>
          </w:tcPr>
          <w:p w14:paraId="68166E85" w14:textId="77777777" w:rsidR="00DF6890" w:rsidRPr="00676B1C" w:rsidRDefault="00407192" w:rsidP="00676B1C">
            <w:pPr>
              <w:ind w:left="-108"/>
              <w:jc w:val="center"/>
              <w:rPr>
                <w:b/>
              </w:rPr>
            </w:pPr>
            <w:r w:rsidRPr="00676B1C">
              <w:rPr>
                <w:b/>
              </w:rPr>
              <w:t>Point Values</w:t>
            </w:r>
          </w:p>
        </w:tc>
      </w:tr>
      <w:tr w:rsidR="00DF6890" w:rsidRPr="00E04794" w14:paraId="35CA8B90" w14:textId="77777777" w:rsidTr="00676B1C">
        <w:trPr>
          <w:trHeight w:val="620"/>
        </w:trPr>
        <w:tc>
          <w:tcPr>
            <w:tcW w:w="5077" w:type="dxa"/>
          </w:tcPr>
          <w:p w14:paraId="31A871BC" w14:textId="77777777" w:rsidR="00DF6890" w:rsidRPr="00E04794" w:rsidRDefault="00DF6890" w:rsidP="00DF6890">
            <w:pPr>
              <w:pStyle w:val="ListParagraph"/>
              <w:numPr>
                <w:ilvl w:val="0"/>
                <w:numId w:val="18"/>
              </w:numPr>
              <w:tabs>
                <w:tab w:val="left" w:pos="522"/>
              </w:tabs>
              <w:ind w:left="522" w:hanging="270"/>
              <w:rPr>
                <w:sz w:val="22"/>
              </w:rPr>
            </w:pPr>
            <w:r w:rsidRPr="00E04794">
              <w:rPr>
                <w:sz w:val="22"/>
              </w:rPr>
              <w:t>The number of CTE courses offered in the school division.</w:t>
            </w:r>
          </w:p>
        </w:tc>
        <w:tc>
          <w:tcPr>
            <w:tcW w:w="4499" w:type="dxa"/>
          </w:tcPr>
          <w:p w14:paraId="26200773" w14:textId="77777777" w:rsidR="00DF6890" w:rsidRPr="00E04794" w:rsidRDefault="00DF6890" w:rsidP="008B7120">
            <w:pPr>
              <w:rPr>
                <w:sz w:val="22"/>
              </w:rPr>
            </w:pPr>
            <w:r w:rsidRPr="00F37B18">
              <w:rPr>
                <w:b/>
                <w:sz w:val="22"/>
              </w:rPr>
              <w:t>+</w:t>
            </w:r>
            <w:r w:rsidR="00F37B18" w:rsidRPr="00F37B18">
              <w:rPr>
                <w:b/>
                <w:sz w:val="22"/>
              </w:rPr>
              <w:t>0</w:t>
            </w:r>
            <w:r w:rsidR="008B7120" w:rsidRPr="00F37B18">
              <w:rPr>
                <w:b/>
                <w:sz w:val="22"/>
              </w:rPr>
              <w:t>.25</w:t>
            </w:r>
            <w:r w:rsidRPr="00E04794">
              <w:rPr>
                <w:sz w:val="22"/>
              </w:rPr>
              <w:t xml:space="preserve"> </w:t>
            </w:r>
            <w:r w:rsidR="00B4374C" w:rsidRPr="00E04794">
              <w:rPr>
                <w:b/>
                <w:sz w:val="22"/>
              </w:rPr>
              <w:t>points</w:t>
            </w:r>
            <w:r w:rsidR="00B4374C" w:rsidRPr="00E04794">
              <w:rPr>
                <w:sz w:val="22"/>
              </w:rPr>
              <w:t xml:space="preserve"> </w:t>
            </w:r>
            <w:r w:rsidRPr="00E04794">
              <w:rPr>
                <w:sz w:val="22"/>
              </w:rPr>
              <w:t xml:space="preserve">assigned for each CTE course in the school division  </w:t>
            </w:r>
          </w:p>
        </w:tc>
      </w:tr>
      <w:tr w:rsidR="00DF6890" w:rsidRPr="00E04794" w14:paraId="5C13C5B5" w14:textId="77777777" w:rsidTr="00676B1C">
        <w:trPr>
          <w:trHeight w:val="890"/>
        </w:trPr>
        <w:tc>
          <w:tcPr>
            <w:tcW w:w="5077" w:type="dxa"/>
          </w:tcPr>
          <w:p w14:paraId="3658E369" w14:textId="77777777" w:rsidR="00DF6890" w:rsidRPr="00E04794" w:rsidRDefault="00DF6890" w:rsidP="00DF6890">
            <w:pPr>
              <w:pStyle w:val="ListParagraph"/>
              <w:numPr>
                <w:ilvl w:val="0"/>
                <w:numId w:val="18"/>
              </w:numPr>
              <w:tabs>
                <w:tab w:val="left" w:pos="522"/>
              </w:tabs>
              <w:ind w:left="522" w:hanging="270"/>
              <w:rPr>
                <w:sz w:val="22"/>
              </w:rPr>
            </w:pPr>
            <w:r w:rsidRPr="00E04794">
              <w:rPr>
                <w:sz w:val="22"/>
              </w:rPr>
              <w:t>The number of secondary CTE programs under/over representation in either sex (over 75% or under 25%).</w:t>
            </w:r>
          </w:p>
        </w:tc>
        <w:tc>
          <w:tcPr>
            <w:tcW w:w="4499" w:type="dxa"/>
          </w:tcPr>
          <w:p w14:paraId="0B1913A8" w14:textId="77777777" w:rsidR="00DF6890" w:rsidRPr="00E04794" w:rsidRDefault="00DF6890" w:rsidP="00B4374C">
            <w:pPr>
              <w:rPr>
                <w:sz w:val="22"/>
              </w:rPr>
            </w:pPr>
            <w:r w:rsidRPr="00E04794">
              <w:rPr>
                <w:b/>
                <w:sz w:val="22"/>
              </w:rPr>
              <w:t>+3</w:t>
            </w:r>
            <w:r w:rsidRPr="00E04794">
              <w:rPr>
                <w:sz w:val="22"/>
              </w:rPr>
              <w:t xml:space="preserve"> </w:t>
            </w:r>
            <w:r w:rsidR="00B4374C" w:rsidRPr="00E04794">
              <w:rPr>
                <w:b/>
                <w:sz w:val="22"/>
              </w:rPr>
              <w:t>points</w:t>
            </w:r>
            <w:r w:rsidR="00B4374C" w:rsidRPr="00E04794">
              <w:rPr>
                <w:sz w:val="22"/>
              </w:rPr>
              <w:t xml:space="preserve"> </w:t>
            </w:r>
            <w:r w:rsidRPr="00E04794">
              <w:rPr>
                <w:sz w:val="22"/>
              </w:rPr>
              <w:t>assigned to each program in the division that is unrepresentative by sex</w:t>
            </w:r>
          </w:p>
        </w:tc>
      </w:tr>
      <w:tr w:rsidR="00DF6890" w:rsidRPr="00E04794" w14:paraId="4F6C2C59" w14:textId="77777777" w:rsidTr="00676B1C">
        <w:trPr>
          <w:trHeight w:val="890"/>
        </w:trPr>
        <w:tc>
          <w:tcPr>
            <w:tcW w:w="5077" w:type="dxa"/>
          </w:tcPr>
          <w:p w14:paraId="7D949B00" w14:textId="77777777" w:rsidR="00DF6890" w:rsidRPr="00E04794" w:rsidRDefault="00DF6890" w:rsidP="00DF6890">
            <w:pPr>
              <w:pStyle w:val="ListParagraph"/>
              <w:numPr>
                <w:ilvl w:val="0"/>
                <w:numId w:val="18"/>
              </w:numPr>
              <w:tabs>
                <w:tab w:val="left" w:pos="522"/>
              </w:tabs>
              <w:ind w:left="522" w:hanging="270"/>
              <w:rPr>
                <w:sz w:val="22"/>
              </w:rPr>
            </w:pPr>
            <w:r w:rsidRPr="00E04794">
              <w:rPr>
                <w:sz w:val="22"/>
              </w:rPr>
              <w:t>The percentage of the allotted Perkins funding that was utilized by the school division in the last fiscal year.</w:t>
            </w:r>
          </w:p>
        </w:tc>
        <w:tc>
          <w:tcPr>
            <w:tcW w:w="4499" w:type="dxa"/>
          </w:tcPr>
          <w:p w14:paraId="490B3E91" w14:textId="77777777" w:rsidR="00DF6890" w:rsidRPr="00E04794" w:rsidRDefault="00DF6890" w:rsidP="00B4374C">
            <w:pPr>
              <w:rPr>
                <w:sz w:val="22"/>
              </w:rPr>
            </w:pPr>
            <w:r w:rsidRPr="00E04794">
              <w:rPr>
                <w:b/>
                <w:sz w:val="22"/>
              </w:rPr>
              <w:t>+1</w:t>
            </w:r>
            <w:r w:rsidRPr="00E04794">
              <w:rPr>
                <w:sz w:val="22"/>
              </w:rPr>
              <w:t xml:space="preserve"> </w:t>
            </w:r>
            <w:r w:rsidR="00B4374C" w:rsidRPr="00E04794">
              <w:rPr>
                <w:b/>
                <w:sz w:val="22"/>
              </w:rPr>
              <w:t>points</w:t>
            </w:r>
            <w:r w:rsidR="00B4374C" w:rsidRPr="00E04794">
              <w:rPr>
                <w:sz w:val="22"/>
              </w:rPr>
              <w:t xml:space="preserve"> </w:t>
            </w:r>
            <w:r w:rsidRPr="00E04794">
              <w:rPr>
                <w:sz w:val="22"/>
              </w:rPr>
              <w:t>assigned for every percentage point under 100%</w:t>
            </w:r>
          </w:p>
        </w:tc>
      </w:tr>
      <w:tr w:rsidR="00DF6890" w:rsidRPr="00E04794" w14:paraId="73BF706F" w14:textId="77777777" w:rsidTr="00676B1C">
        <w:trPr>
          <w:trHeight w:val="890"/>
        </w:trPr>
        <w:tc>
          <w:tcPr>
            <w:tcW w:w="5077" w:type="dxa"/>
          </w:tcPr>
          <w:p w14:paraId="03EE2CD9" w14:textId="77777777" w:rsidR="00DF6890" w:rsidRPr="00E04794" w:rsidRDefault="00DF6890" w:rsidP="00DF6890">
            <w:pPr>
              <w:pStyle w:val="ListParagraph"/>
              <w:numPr>
                <w:ilvl w:val="0"/>
                <w:numId w:val="18"/>
              </w:numPr>
              <w:tabs>
                <w:tab w:val="left" w:pos="522"/>
              </w:tabs>
              <w:ind w:left="522" w:hanging="270"/>
              <w:rPr>
                <w:sz w:val="22"/>
              </w:rPr>
            </w:pPr>
            <w:r w:rsidRPr="00E04794">
              <w:rPr>
                <w:sz w:val="22"/>
              </w:rPr>
              <w:t>The number of standards not met on the school division’s last Annual CTE Performance Summary Report.</w:t>
            </w:r>
          </w:p>
        </w:tc>
        <w:tc>
          <w:tcPr>
            <w:tcW w:w="4499" w:type="dxa"/>
          </w:tcPr>
          <w:p w14:paraId="633B447E" w14:textId="77777777" w:rsidR="00DF6890" w:rsidRPr="00E04794" w:rsidRDefault="00DF6890" w:rsidP="00B4374C">
            <w:pPr>
              <w:rPr>
                <w:sz w:val="22"/>
              </w:rPr>
            </w:pPr>
            <w:r w:rsidRPr="00E04794">
              <w:rPr>
                <w:b/>
                <w:sz w:val="22"/>
              </w:rPr>
              <w:t xml:space="preserve">+5 </w:t>
            </w:r>
            <w:r w:rsidR="00B4374C" w:rsidRPr="00E04794">
              <w:rPr>
                <w:b/>
                <w:sz w:val="22"/>
              </w:rPr>
              <w:t>points</w:t>
            </w:r>
            <w:r w:rsidR="00B4374C" w:rsidRPr="00E04794">
              <w:rPr>
                <w:sz w:val="22"/>
              </w:rPr>
              <w:t xml:space="preserve"> </w:t>
            </w:r>
            <w:r w:rsidRPr="00E04794">
              <w:rPr>
                <w:sz w:val="22"/>
              </w:rPr>
              <w:t>assigned for every standard not met</w:t>
            </w:r>
          </w:p>
        </w:tc>
      </w:tr>
      <w:tr w:rsidR="00DF6890" w:rsidRPr="00E04794" w14:paraId="26CE63C5" w14:textId="77777777" w:rsidTr="00676B1C">
        <w:trPr>
          <w:trHeight w:val="890"/>
        </w:trPr>
        <w:tc>
          <w:tcPr>
            <w:tcW w:w="5077" w:type="dxa"/>
          </w:tcPr>
          <w:p w14:paraId="12494A4A" w14:textId="77777777" w:rsidR="00DF6890" w:rsidRPr="00E04794" w:rsidRDefault="00DF6890" w:rsidP="00432954">
            <w:pPr>
              <w:pStyle w:val="ListParagraph"/>
              <w:numPr>
                <w:ilvl w:val="0"/>
                <w:numId w:val="18"/>
              </w:numPr>
              <w:tabs>
                <w:tab w:val="left" w:pos="522"/>
              </w:tabs>
              <w:ind w:left="522" w:hanging="270"/>
              <w:rPr>
                <w:sz w:val="22"/>
              </w:rPr>
            </w:pPr>
            <w:r w:rsidRPr="00E04794">
              <w:rPr>
                <w:sz w:val="22"/>
              </w:rPr>
              <w:t xml:space="preserve">The school division’s failure to submit the previous year’s CTE Self-Assessment and signature page by April </w:t>
            </w:r>
            <w:r w:rsidR="00B05447">
              <w:rPr>
                <w:sz w:val="22"/>
              </w:rPr>
              <w:t>30</w:t>
            </w:r>
            <w:r w:rsidRPr="00E04794">
              <w:rPr>
                <w:sz w:val="22"/>
              </w:rPr>
              <w:t>, 20</w:t>
            </w:r>
            <w:r w:rsidR="00C36D13">
              <w:rPr>
                <w:sz w:val="22"/>
              </w:rPr>
              <w:t>2</w:t>
            </w:r>
            <w:r w:rsidR="00F37B18">
              <w:rPr>
                <w:sz w:val="22"/>
              </w:rPr>
              <w:t>4</w:t>
            </w:r>
            <w:r w:rsidRPr="00E04794">
              <w:rPr>
                <w:sz w:val="22"/>
              </w:rPr>
              <w:t>.</w:t>
            </w:r>
          </w:p>
        </w:tc>
        <w:tc>
          <w:tcPr>
            <w:tcW w:w="4499" w:type="dxa"/>
          </w:tcPr>
          <w:p w14:paraId="20B3A505" w14:textId="2235F883" w:rsidR="00DF6890" w:rsidRPr="00E04794" w:rsidRDefault="00DF6890" w:rsidP="00B4374C">
            <w:pPr>
              <w:rPr>
                <w:sz w:val="22"/>
              </w:rPr>
            </w:pPr>
            <w:r w:rsidRPr="00E04794">
              <w:rPr>
                <w:b/>
                <w:sz w:val="22"/>
              </w:rPr>
              <w:t xml:space="preserve">+5 </w:t>
            </w:r>
            <w:r w:rsidR="00B4374C" w:rsidRPr="00E04794">
              <w:rPr>
                <w:b/>
                <w:sz w:val="22"/>
              </w:rPr>
              <w:t>points</w:t>
            </w:r>
            <w:r w:rsidR="00B4374C" w:rsidRPr="00E04794">
              <w:rPr>
                <w:sz w:val="22"/>
              </w:rPr>
              <w:t xml:space="preserve"> </w:t>
            </w:r>
            <w:r w:rsidRPr="00E04794">
              <w:rPr>
                <w:sz w:val="22"/>
              </w:rPr>
              <w:t xml:space="preserve">assigned if either the Self-Assessment or signature page not submitted, or </w:t>
            </w:r>
            <w:r w:rsidR="00F37B18" w:rsidRPr="00F37B18">
              <w:rPr>
                <w:b/>
                <w:sz w:val="22"/>
              </w:rPr>
              <w:t>+</w:t>
            </w:r>
            <w:r w:rsidRPr="00F37B18">
              <w:rPr>
                <w:b/>
                <w:sz w:val="22"/>
              </w:rPr>
              <w:t>10</w:t>
            </w:r>
            <w:r w:rsidR="008A4672">
              <w:rPr>
                <w:b/>
                <w:sz w:val="22"/>
              </w:rPr>
              <w:t xml:space="preserve"> points</w:t>
            </w:r>
            <w:r w:rsidRPr="00E04794">
              <w:rPr>
                <w:sz w:val="22"/>
              </w:rPr>
              <w:t xml:space="preserve"> assigned if neither of the above was submitted.</w:t>
            </w:r>
          </w:p>
        </w:tc>
      </w:tr>
      <w:tr w:rsidR="00DF6890" w:rsidRPr="00E04794" w14:paraId="3AEF583F" w14:textId="77777777" w:rsidTr="00676B1C">
        <w:trPr>
          <w:trHeight w:val="890"/>
        </w:trPr>
        <w:tc>
          <w:tcPr>
            <w:tcW w:w="5077" w:type="dxa"/>
          </w:tcPr>
          <w:p w14:paraId="56D643D2" w14:textId="77777777" w:rsidR="00DF6890" w:rsidRPr="00E04794" w:rsidRDefault="00DF6890" w:rsidP="00B4374C">
            <w:pPr>
              <w:pStyle w:val="ListParagraph"/>
              <w:numPr>
                <w:ilvl w:val="0"/>
                <w:numId w:val="18"/>
              </w:numPr>
              <w:tabs>
                <w:tab w:val="left" w:pos="522"/>
              </w:tabs>
              <w:ind w:left="522" w:hanging="270"/>
              <w:rPr>
                <w:sz w:val="22"/>
              </w:rPr>
            </w:pPr>
            <w:r w:rsidRPr="00E04794">
              <w:rPr>
                <w:sz w:val="22"/>
              </w:rPr>
              <w:t>The number of years since the last on-site CTE Federal Program Monitoring review.</w:t>
            </w:r>
          </w:p>
          <w:p w14:paraId="74F4C586" w14:textId="77777777" w:rsidR="00DF6890" w:rsidRPr="00E04794" w:rsidRDefault="00DF6890" w:rsidP="00B4374C">
            <w:pPr>
              <w:tabs>
                <w:tab w:val="left" w:pos="522"/>
              </w:tabs>
              <w:ind w:left="522" w:hanging="270"/>
              <w:rPr>
                <w:sz w:val="22"/>
              </w:rPr>
            </w:pPr>
          </w:p>
        </w:tc>
        <w:tc>
          <w:tcPr>
            <w:tcW w:w="4499" w:type="dxa"/>
          </w:tcPr>
          <w:p w14:paraId="6D4A97A5" w14:textId="77777777" w:rsidR="00B4374C" w:rsidRPr="00E04794" w:rsidRDefault="00B4374C" w:rsidP="00B4374C">
            <w:pPr>
              <w:rPr>
                <w:b/>
                <w:sz w:val="22"/>
              </w:rPr>
            </w:pPr>
            <w:r w:rsidRPr="00E04794">
              <w:rPr>
                <w:b/>
                <w:sz w:val="22"/>
              </w:rPr>
              <w:t>Points:</w:t>
            </w:r>
          </w:p>
          <w:p w14:paraId="61A8796B" w14:textId="77777777" w:rsidR="00DF6890" w:rsidRPr="00E04794" w:rsidRDefault="00DF6890" w:rsidP="00B4374C">
            <w:pPr>
              <w:rPr>
                <w:sz w:val="22"/>
              </w:rPr>
            </w:pPr>
            <w:r w:rsidRPr="00E04794">
              <w:rPr>
                <w:b/>
                <w:sz w:val="22"/>
              </w:rPr>
              <w:t>+</w:t>
            </w:r>
            <w:proofErr w:type="gramStart"/>
            <w:r w:rsidRPr="00E04794">
              <w:rPr>
                <w:b/>
                <w:sz w:val="22"/>
              </w:rPr>
              <w:t>0</w:t>
            </w:r>
            <w:r w:rsidRPr="00E04794">
              <w:rPr>
                <w:sz w:val="22"/>
              </w:rPr>
              <w:t xml:space="preserve">  (</w:t>
            </w:r>
            <w:proofErr w:type="gramEnd"/>
            <w:r w:rsidRPr="00E04794">
              <w:rPr>
                <w:sz w:val="22"/>
              </w:rPr>
              <w:t>6 years or less)</w:t>
            </w:r>
          </w:p>
          <w:p w14:paraId="1746EE0B" w14:textId="77777777" w:rsidR="00DF6890" w:rsidRPr="00E04794" w:rsidRDefault="00DF6890" w:rsidP="00B4374C">
            <w:pPr>
              <w:rPr>
                <w:sz w:val="22"/>
              </w:rPr>
            </w:pPr>
            <w:r w:rsidRPr="00E04794">
              <w:rPr>
                <w:sz w:val="22"/>
              </w:rPr>
              <w:t>+</w:t>
            </w:r>
            <w:proofErr w:type="gramStart"/>
            <w:r w:rsidR="008B7120">
              <w:rPr>
                <w:b/>
                <w:sz w:val="22"/>
              </w:rPr>
              <w:t>10</w:t>
            </w:r>
            <w:r w:rsidRPr="00E04794">
              <w:rPr>
                <w:b/>
                <w:sz w:val="22"/>
              </w:rPr>
              <w:t xml:space="preserve">  </w:t>
            </w:r>
            <w:r w:rsidRPr="00E04794">
              <w:rPr>
                <w:sz w:val="22"/>
              </w:rPr>
              <w:t>(</w:t>
            </w:r>
            <w:proofErr w:type="gramEnd"/>
            <w:r w:rsidRPr="00E04794">
              <w:rPr>
                <w:sz w:val="22"/>
              </w:rPr>
              <w:t>7 to12 years )</w:t>
            </w:r>
            <w:r w:rsidRPr="00E04794">
              <w:rPr>
                <w:b/>
                <w:sz w:val="22"/>
              </w:rPr>
              <w:t xml:space="preserve"> </w:t>
            </w:r>
          </w:p>
          <w:p w14:paraId="1726CC41" w14:textId="77777777" w:rsidR="00DF6890" w:rsidRPr="00E04794" w:rsidRDefault="00DF6890" w:rsidP="00B4374C">
            <w:pPr>
              <w:rPr>
                <w:sz w:val="22"/>
              </w:rPr>
            </w:pPr>
            <w:r w:rsidRPr="00E04794">
              <w:rPr>
                <w:b/>
                <w:sz w:val="22"/>
              </w:rPr>
              <w:t>+</w:t>
            </w:r>
            <w:r w:rsidR="008B7120">
              <w:rPr>
                <w:b/>
                <w:sz w:val="22"/>
              </w:rPr>
              <w:t>20</w:t>
            </w:r>
            <w:r w:rsidRPr="00E04794">
              <w:rPr>
                <w:sz w:val="22"/>
              </w:rPr>
              <w:t xml:space="preserve"> (13 to 19 years)</w:t>
            </w:r>
          </w:p>
          <w:p w14:paraId="46768C31" w14:textId="77777777" w:rsidR="00DF6890" w:rsidRPr="00E04794" w:rsidRDefault="00DF6890" w:rsidP="00B4374C">
            <w:pPr>
              <w:rPr>
                <w:sz w:val="22"/>
              </w:rPr>
            </w:pPr>
            <w:r w:rsidRPr="00E04794">
              <w:rPr>
                <w:b/>
                <w:sz w:val="22"/>
              </w:rPr>
              <w:t>+</w:t>
            </w:r>
            <w:r w:rsidR="008B7120">
              <w:rPr>
                <w:b/>
                <w:sz w:val="22"/>
              </w:rPr>
              <w:t>30</w:t>
            </w:r>
            <w:r w:rsidR="00F70B0B">
              <w:rPr>
                <w:b/>
                <w:sz w:val="22"/>
              </w:rPr>
              <w:t>;</w:t>
            </w:r>
            <w:r w:rsidRPr="00E04794">
              <w:rPr>
                <w:b/>
                <w:sz w:val="22"/>
              </w:rPr>
              <w:t xml:space="preserve"> </w:t>
            </w:r>
            <w:r w:rsidRPr="00E04794">
              <w:rPr>
                <w:sz w:val="22"/>
              </w:rPr>
              <w:t>(20+ years)</w:t>
            </w:r>
          </w:p>
          <w:p w14:paraId="4CECFE94" w14:textId="77777777" w:rsidR="00DF6890" w:rsidRPr="00E04794" w:rsidRDefault="00DF6890" w:rsidP="00B4374C">
            <w:pPr>
              <w:rPr>
                <w:sz w:val="22"/>
              </w:rPr>
            </w:pPr>
          </w:p>
        </w:tc>
      </w:tr>
    </w:tbl>
    <w:p w14:paraId="0B19329F" w14:textId="77777777" w:rsidR="00E740CE" w:rsidRPr="00E04794" w:rsidRDefault="00454177" w:rsidP="008E6312">
      <w:pPr>
        <w:pStyle w:val="Heading2"/>
      </w:pPr>
      <w:r w:rsidRPr="00E04794">
        <w:br w:type="page"/>
      </w:r>
      <w:r w:rsidR="00C42DDF" w:rsidRPr="00E04794">
        <w:lastRenderedPageBreak/>
        <w:t>Review Structure</w:t>
      </w:r>
    </w:p>
    <w:p w14:paraId="60B7A70C" w14:textId="77777777" w:rsidR="00E740CE" w:rsidRPr="00676B1C" w:rsidRDefault="00E740CE" w:rsidP="00676B1C"/>
    <w:p w14:paraId="0090546D" w14:textId="77777777" w:rsidR="00BA5C0D" w:rsidRPr="00E04794" w:rsidRDefault="0084552B" w:rsidP="00E740CE">
      <w:r w:rsidRPr="00E04794">
        <w:rPr>
          <w:b/>
        </w:rPr>
        <w:t xml:space="preserve">Desk </w:t>
      </w:r>
      <w:r w:rsidR="00B44334" w:rsidRPr="00E04794">
        <w:rPr>
          <w:b/>
        </w:rPr>
        <w:t>Review</w:t>
      </w:r>
      <w:r w:rsidRPr="00E04794">
        <w:t xml:space="preserve">:  </w:t>
      </w:r>
      <w:r w:rsidR="005C743B" w:rsidRPr="00E04794">
        <w:t>Enrollment (school-wide and CTE)</w:t>
      </w:r>
      <w:r w:rsidR="009D1440">
        <w:t>,</w:t>
      </w:r>
      <w:r w:rsidR="005C743B" w:rsidRPr="00E04794">
        <w:t xml:space="preserve"> f</w:t>
      </w:r>
      <w:r w:rsidR="000E72AA" w:rsidRPr="00E04794">
        <w:t>inancial records (purchase orders, expenditure reports, equipment inventory)</w:t>
      </w:r>
      <w:r w:rsidR="009D1440">
        <w:t>,</w:t>
      </w:r>
      <w:r w:rsidR="000E72AA" w:rsidRPr="00E04794">
        <w:t xml:space="preserve"> program documentation (safety inspection records, </w:t>
      </w:r>
      <w:r w:rsidR="009D1440">
        <w:t>program accreditation records</w:t>
      </w:r>
      <w:r w:rsidR="000E72AA" w:rsidRPr="00E04794">
        <w:t>, work-based learning</w:t>
      </w:r>
      <w:r w:rsidR="0065428B">
        <w:t xml:space="preserve"> documentation</w:t>
      </w:r>
      <w:r w:rsidR="005C743B" w:rsidRPr="00E04794">
        <w:t>)</w:t>
      </w:r>
      <w:r w:rsidR="009D1440">
        <w:t>,</w:t>
      </w:r>
      <w:r w:rsidR="005C743B" w:rsidRPr="00E04794">
        <w:t xml:space="preserve"> </w:t>
      </w:r>
      <w:r w:rsidR="000E72AA" w:rsidRPr="00E04794">
        <w:t>staff development</w:t>
      </w:r>
      <w:r w:rsidR="005C743B" w:rsidRPr="00E04794">
        <w:t xml:space="preserve"> records</w:t>
      </w:r>
      <w:r w:rsidR="009D1440">
        <w:t>,</w:t>
      </w:r>
      <w:r w:rsidR="000E72AA" w:rsidRPr="00E04794">
        <w:t xml:space="preserve"> CTE nondiscrimination documentation</w:t>
      </w:r>
      <w:r w:rsidR="009D1440">
        <w:t>,</w:t>
      </w:r>
      <w:r w:rsidR="005C743B" w:rsidRPr="00E04794">
        <w:t xml:space="preserve"> </w:t>
      </w:r>
      <w:r w:rsidR="000E72AA" w:rsidRPr="00E04794">
        <w:t>CTE advisory council documentation</w:t>
      </w:r>
      <w:r w:rsidR="009D1440">
        <w:t>,</w:t>
      </w:r>
      <w:r w:rsidR="000E72AA" w:rsidRPr="00E04794">
        <w:t xml:space="preserve"> CTE program </w:t>
      </w:r>
      <w:r w:rsidR="005C743B" w:rsidRPr="00E04794">
        <w:t>evaluations</w:t>
      </w:r>
      <w:r w:rsidR="009D1440">
        <w:t>,</w:t>
      </w:r>
      <w:r w:rsidR="000E72AA" w:rsidRPr="00E04794">
        <w:t xml:space="preserve"> program materials (recruitment, promotion, application, course selection registration)</w:t>
      </w:r>
      <w:r w:rsidR="009D1440">
        <w:t>,</w:t>
      </w:r>
      <w:r w:rsidR="000E72AA" w:rsidRPr="00E04794">
        <w:t xml:space="preserve"> </w:t>
      </w:r>
      <w:r w:rsidR="005C743B" w:rsidRPr="00E04794">
        <w:t xml:space="preserve">description of </w:t>
      </w:r>
      <w:r w:rsidR="000E72AA" w:rsidRPr="00E04794">
        <w:t>school counseling services</w:t>
      </w:r>
      <w:r w:rsidR="009D1440">
        <w:t>,</w:t>
      </w:r>
      <w:r w:rsidR="000E72AA" w:rsidRPr="00E04794">
        <w:t xml:space="preserve"> </w:t>
      </w:r>
      <w:r w:rsidR="005C743B" w:rsidRPr="00E04794">
        <w:t xml:space="preserve">sample </w:t>
      </w:r>
      <w:r w:rsidR="000E72AA" w:rsidRPr="00E04794">
        <w:t>Academic and Career Plan</w:t>
      </w:r>
      <w:r w:rsidR="009D1440">
        <w:t>,</w:t>
      </w:r>
      <w:r w:rsidR="000E72AA" w:rsidRPr="00E04794">
        <w:t xml:space="preserve"> student competency records</w:t>
      </w:r>
      <w:r w:rsidR="009D1440">
        <w:t>,</w:t>
      </w:r>
      <w:r w:rsidR="000E72AA" w:rsidRPr="00E04794">
        <w:t xml:space="preserve"> </w:t>
      </w:r>
      <w:r w:rsidR="005C743B" w:rsidRPr="00E04794">
        <w:t xml:space="preserve">CTE </w:t>
      </w:r>
      <w:r w:rsidR="000E72AA" w:rsidRPr="00E04794">
        <w:t>teacher endorsement</w:t>
      </w:r>
      <w:r w:rsidR="0065428B">
        <w:t xml:space="preserve"> records</w:t>
      </w:r>
      <w:r w:rsidR="009D1440">
        <w:t>,</w:t>
      </w:r>
      <w:r w:rsidR="000E72AA" w:rsidRPr="00E04794">
        <w:t xml:space="preserve"> </w:t>
      </w:r>
      <w:r w:rsidR="005C743B" w:rsidRPr="00E04794">
        <w:t>course syllabi</w:t>
      </w:r>
      <w:r w:rsidR="009D1440">
        <w:t>,</w:t>
      </w:r>
      <w:r w:rsidR="005C743B" w:rsidRPr="00E04794">
        <w:t xml:space="preserve"> </w:t>
      </w:r>
      <w:r w:rsidR="000E72AA" w:rsidRPr="00E04794">
        <w:t>and career and</w:t>
      </w:r>
      <w:r w:rsidR="00B34FAC" w:rsidRPr="00E04794">
        <w:t xml:space="preserve"> technical student organization affiliation</w:t>
      </w:r>
      <w:r w:rsidR="007F5E81">
        <w:t xml:space="preserve"> records</w:t>
      </w:r>
      <w:r w:rsidR="000E72AA" w:rsidRPr="00E04794">
        <w:t>.</w:t>
      </w:r>
    </w:p>
    <w:p w14:paraId="3C037DA4" w14:textId="77777777" w:rsidR="00BA5C0D" w:rsidRPr="00E04794" w:rsidRDefault="00BA5C0D" w:rsidP="00E740CE">
      <w:pPr>
        <w:rPr>
          <w:b/>
          <w:highlight w:val="yellow"/>
        </w:rPr>
      </w:pPr>
    </w:p>
    <w:p w14:paraId="6CF7BE37" w14:textId="77777777" w:rsidR="00F849F1" w:rsidRDefault="00EA168D" w:rsidP="0095094A">
      <w:r w:rsidRPr="00E04794">
        <w:rPr>
          <w:b/>
        </w:rPr>
        <w:t>On-</w:t>
      </w:r>
      <w:r w:rsidR="00051A56">
        <w:rPr>
          <w:b/>
        </w:rPr>
        <w:t>S</w:t>
      </w:r>
      <w:r w:rsidR="0084552B" w:rsidRPr="00E04794">
        <w:rPr>
          <w:b/>
        </w:rPr>
        <w:t>ite</w:t>
      </w:r>
      <w:r w:rsidR="00B44334" w:rsidRPr="00E04794">
        <w:rPr>
          <w:b/>
        </w:rPr>
        <w:t xml:space="preserve"> Review</w:t>
      </w:r>
      <w:r w:rsidR="0084552B" w:rsidRPr="00E04794">
        <w:t xml:space="preserve">:  Interview </w:t>
      </w:r>
      <w:r w:rsidR="0064625E" w:rsidRPr="00E04794">
        <w:t>school division</w:t>
      </w:r>
      <w:r w:rsidR="0084552B" w:rsidRPr="00E04794">
        <w:t xml:space="preserve"> </w:t>
      </w:r>
      <w:r w:rsidR="00F17492" w:rsidRPr="00E04794">
        <w:t xml:space="preserve">CTE </w:t>
      </w:r>
      <w:r w:rsidR="0084552B" w:rsidRPr="00E04794">
        <w:t xml:space="preserve">administration, building </w:t>
      </w:r>
      <w:r w:rsidR="00F17492" w:rsidRPr="00E04794">
        <w:t>principal</w:t>
      </w:r>
      <w:r w:rsidR="007F5E81">
        <w:t>s</w:t>
      </w:r>
      <w:r w:rsidR="0084552B" w:rsidRPr="00E04794">
        <w:t xml:space="preserve">, CTE teaching staff, </w:t>
      </w:r>
      <w:r w:rsidR="004855CD" w:rsidRPr="00E04794">
        <w:t>school</w:t>
      </w:r>
      <w:r w:rsidR="0084552B" w:rsidRPr="00E04794">
        <w:t xml:space="preserve"> counselors</w:t>
      </w:r>
      <w:r w:rsidR="004B598B" w:rsidRPr="00E04794">
        <w:t>, and CTE students</w:t>
      </w:r>
      <w:r w:rsidR="00B44334" w:rsidRPr="00E04794">
        <w:t xml:space="preserve">; </w:t>
      </w:r>
      <w:proofErr w:type="gramStart"/>
      <w:r w:rsidR="00B44334" w:rsidRPr="00E04794">
        <w:t>and</w:t>
      </w:r>
      <w:r w:rsidR="00E740CE" w:rsidRPr="00E04794">
        <w:t>,</w:t>
      </w:r>
      <w:proofErr w:type="gramEnd"/>
      <w:r w:rsidR="00B44334" w:rsidRPr="00E04794">
        <w:t xml:space="preserve"> </w:t>
      </w:r>
      <w:r w:rsidR="0095094A" w:rsidRPr="00E04794">
        <w:t>perform</w:t>
      </w:r>
      <w:r w:rsidR="0084552B" w:rsidRPr="00E04794">
        <w:t xml:space="preserve"> </w:t>
      </w:r>
      <w:r w:rsidR="00893296">
        <w:t xml:space="preserve">walkthrough of </w:t>
      </w:r>
      <w:r w:rsidR="00F17492" w:rsidRPr="00E04794">
        <w:t xml:space="preserve">CTE </w:t>
      </w:r>
      <w:r w:rsidR="00F17492" w:rsidRPr="005739BC">
        <w:t>program</w:t>
      </w:r>
      <w:r w:rsidR="00893296" w:rsidRPr="005739BC">
        <w:t>s</w:t>
      </w:r>
      <w:r w:rsidR="0084552B" w:rsidRPr="005739BC">
        <w:t>.</w:t>
      </w:r>
      <w:r w:rsidR="00B939D1" w:rsidRPr="005739BC">
        <w:t xml:space="preserve">  </w:t>
      </w:r>
    </w:p>
    <w:p w14:paraId="77492DC7" w14:textId="77777777" w:rsidR="004E3B89" w:rsidRPr="00E04794" w:rsidRDefault="004E3B89" w:rsidP="0095094A"/>
    <w:p w14:paraId="4D6E176A" w14:textId="77777777" w:rsidR="00454177" w:rsidRPr="00E04794" w:rsidRDefault="00EA168D" w:rsidP="008E6312">
      <w:pPr>
        <w:pStyle w:val="Heading2"/>
      </w:pPr>
      <w:r w:rsidRPr="00E04794">
        <w:t xml:space="preserve">Post </w:t>
      </w:r>
      <w:r w:rsidR="00C42DDF" w:rsidRPr="00E04794">
        <w:t>R</w:t>
      </w:r>
      <w:r w:rsidR="00176852" w:rsidRPr="00E04794">
        <w:t>eview</w:t>
      </w:r>
    </w:p>
    <w:p w14:paraId="13851B8C" w14:textId="77777777" w:rsidR="00E740CE" w:rsidRPr="00676B1C" w:rsidRDefault="00E740CE" w:rsidP="00676B1C"/>
    <w:p w14:paraId="747E7BC2" w14:textId="77777777" w:rsidR="0084552B" w:rsidRPr="00E04794" w:rsidRDefault="00B4374C" w:rsidP="00676B1C">
      <w:pPr>
        <w:rPr>
          <w:b/>
          <w:bCs/>
          <w:i/>
          <w:iCs/>
        </w:rPr>
      </w:pPr>
      <w:r w:rsidRPr="00E04794">
        <w:rPr>
          <w:b/>
        </w:rPr>
        <w:t>Report</w:t>
      </w:r>
      <w:r w:rsidR="0052362C" w:rsidRPr="00E04794">
        <w:rPr>
          <w:b/>
        </w:rPr>
        <w:t xml:space="preserve"> of Findings</w:t>
      </w:r>
      <w:r w:rsidRPr="00E04794">
        <w:rPr>
          <w:b/>
        </w:rPr>
        <w:t xml:space="preserve"> (ROF)</w:t>
      </w:r>
      <w:r w:rsidR="0052362C" w:rsidRPr="00E04794">
        <w:rPr>
          <w:b/>
        </w:rPr>
        <w:t xml:space="preserve">: </w:t>
      </w:r>
      <w:r w:rsidR="00251EF8" w:rsidRPr="00E04794">
        <w:t>School d</w:t>
      </w:r>
      <w:r w:rsidR="0084552B" w:rsidRPr="00E04794">
        <w:t>i</w:t>
      </w:r>
      <w:r w:rsidR="00251EF8" w:rsidRPr="00E04794">
        <w:t xml:space="preserve">visions receive a written </w:t>
      </w:r>
      <w:r w:rsidR="00251EF8" w:rsidRPr="00E04794">
        <w:rPr>
          <w:b/>
        </w:rPr>
        <w:t>draft</w:t>
      </w:r>
      <w:r w:rsidR="00251EF8" w:rsidRPr="00E04794">
        <w:t xml:space="preserve"> </w:t>
      </w:r>
      <w:r w:rsidRPr="00E04794">
        <w:t xml:space="preserve">ROF </w:t>
      </w:r>
      <w:r w:rsidR="00251EF8" w:rsidRPr="00E04794">
        <w:t>containing findings,</w:t>
      </w:r>
      <w:r w:rsidR="00C42DDF" w:rsidRPr="00E04794">
        <w:t xml:space="preserve"> recommendations, </w:t>
      </w:r>
      <w:r w:rsidR="00251EF8" w:rsidRPr="00E04794">
        <w:t xml:space="preserve">and commendations within </w:t>
      </w:r>
      <w:r w:rsidR="00F37B18">
        <w:rPr>
          <w:b/>
          <w:bCs/>
          <w:iCs/>
          <w:color w:val="000000"/>
        </w:rPr>
        <w:t>60</w:t>
      </w:r>
      <w:r w:rsidR="009F49D2" w:rsidRPr="007F5E81">
        <w:rPr>
          <w:b/>
          <w:bCs/>
          <w:iCs/>
          <w:color w:val="000000"/>
        </w:rPr>
        <w:t xml:space="preserve"> </w:t>
      </w:r>
      <w:r w:rsidR="00251EF8" w:rsidRPr="007F5E81">
        <w:rPr>
          <w:b/>
          <w:bCs/>
          <w:iCs/>
          <w:color w:val="000000"/>
        </w:rPr>
        <w:t>calendar days</w:t>
      </w:r>
      <w:r w:rsidR="00F849F1" w:rsidRPr="00E04794">
        <w:rPr>
          <w:b/>
          <w:bCs/>
          <w:i/>
          <w:iCs/>
          <w:color w:val="000000"/>
        </w:rPr>
        <w:t xml:space="preserve"> </w:t>
      </w:r>
      <w:r w:rsidR="00251EF8" w:rsidRPr="00E04794">
        <w:rPr>
          <w:color w:val="000000"/>
        </w:rPr>
        <w:t>f</w:t>
      </w:r>
      <w:r w:rsidR="00251EF8" w:rsidRPr="00E04794">
        <w:t>ollowing the review</w:t>
      </w:r>
      <w:r w:rsidR="00F37B18">
        <w:rPr>
          <w:bCs/>
          <w:iCs/>
        </w:rPr>
        <w:t xml:space="preserve">. </w:t>
      </w:r>
      <w:r w:rsidR="00251EF8" w:rsidRPr="00E04794">
        <w:rPr>
          <w:bCs/>
          <w:iCs/>
        </w:rPr>
        <w:t xml:space="preserve">The </w:t>
      </w:r>
      <w:r w:rsidRPr="00E04794">
        <w:rPr>
          <w:bCs/>
          <w:iCs/>
        </w:rPr>
        <w:t>R</w:t>
      </w:r>
      <w:r w:rsidR="00251EF8" w:rsidRPr="00E04794">
        <w:rPr>
          <w:bCs/>
          <w:iCs/>
        </w:rPr>
        <w:t xml:space="preserve">OF </w:t>
      </w:r>
      <w:r w:rsidR="00251EF8" w:rsidRPr="00E04794">
        <w:t>covers</w:t>
      </w:r>
      <w:r w:rsidR="0084552B" w:rsidRPr="00E04794">
        <w:t xml:space="preserve"> the following areas:</w:t>
      </w:r>
    </w:p>
    <w:p w14:paraId="335EC0A2" w14:textId="77777777" w:rsidR="003A478B" w:rsidRPr="00E04794" w:rsidRDefault="003A478B" w:rsidP="00454177">
      <w:pPr>
        <w:ind w:left="720"/>
        <w:rPr>
          <w:b/>
          <w:bCs/>
          <w:i/>
          <w:iCs/>
        </w:rPr>
      </w:pPr>
    </w:p>
    <w:p w14:paraId="5510C3C4" w14:textId="77777777" w:rsidR="00B4374C" w:rsidRPr="00E04794" w:rsidRDefault="00F17492" w:rsidP="00B4374C">
      <w:pPr>
        <w:pStyle w:val="NormalWeb"/>
        <w:numPr>
          <w:ilvl w:val="0"/>
          <w:numId w:val="11"/>
        </w:numPr>
        <w:spacing w:before="0" w:beforeAutospacing="0"/>
        <w:rPr>
          <w:rFonts w:ascii="Times New Roman" w:hAnsi="Times New Roman"/>
          <w:color w:val="auto"/>
          <w:sz w:val="24"/>
          <w:szCs w:val="24"/>
        </w:rPr>
      </w:pPr>
      <w:r w:rsidRPr="00E04794">
        <w:rPr>
          <w:rFonts w:ascii="Times New Roman" w:hAnsi="Times New Roman"/>
          <w:color w:val="auto"/>
          <w:sz w:val="24"/>
          <w:szCs w:val="24"/>
        </w:rPr>
        <w:t>CTE Financial Report</w:t>
      </w:r>
    </w:p>
    <w:p w14:paraId="7F3329E4" w14:textId="77777777" w:rsidR="00F17492" w:rsidRPr="00E04794" w:rsidRDefault="00F17492" w:rsidP="00B4374C">
      <w:pPr>
        <w:pStyle w:val="NormalWeb"/>
        <w:numPr>
          <w:ilvl w:val="0"/>
          <w:numId w:val="11"/>
        </w:numPr>
        <w:spacing w:before="0" w:beforeAutospacing="0"/>
        <w:rPr>
          <w:rFonts w:ascii="Times New Roman" w:hAnsi="Times New Roman"/>
          <w:color w:val="auto"/>
          <w:sz w:val="24"/>
          <w:szCs w:val="24"/>
        </w:rPr>
      </w:pPr>
      <w:r w:rsidRPr="00E04794">
        <w:rPr>
          <w:rFonts w:ascii="Times New Roman" w:hAnsi="Times New Roman"/>
          <w:color w:val="auto"/>
          <w:sz w:val="24"/>
          <w:szCs w:val="24"/>
        </w:rPr>
        <w:t>CTE Management System</w:t>
      </w:r>
    </w:p>
    <w:p w14:paraId="68DAFB0C" w14:textId="77777777" w:rsidR="00F17492" w:rsidRPr="00E04794" w:rsidRDefault="00F17492" w:rsidP="00B4374C">
      <w:pPr>
        <w:pStyle w:val="NormalWeb"/>
        <w:numPr>
          <w:ilvl w:val="0"/>
          <w:numId w:val="11"/>
        </w:numPr>
        <w:spacing w:before="0" w:beforeAutospacing="0"/>
        <w:rPr>
          <w:rFonts w:ascii="Times New Roman" w:hAnsi="Times New Roman"/>
          <w:color w:val="auto"/>
          <w:sz w:val="24"/>
          <w:szCs w:val="24"/>
        </w:rPr>
      </w:pPr>
      <w:r w:rsidRPr="00E04794">
        <w:rPr>
          <w:rFonts w:ascii="Times New Roman" w:hAnsi="Times New Roman"/>
          <w:color w:val="auto"/>
          <w:sz w:val="24"/>
          <w:szCs w:val="24"/>
        </w:rPr>
        <w:t>CTE Reporting System</w:t>
      </w:r>
    </w:p>
    <w:p w14:paraId="33DDF8DE" w14:textId="77777777" w:rsidR="00F17492" w:rsidRPr="00E04794" w:rsidRDefault="00F17492" w:rsidP="00B4374C">
      <w:pPr>
        <w:pStyle w:val="NormalWeb"/>
        <w:numPr>
          <w:ilvl w:val="0"/>
          <w:numId w:val="11"/>
        </w:numPr>
        <w:spacing w:before="0" w:beforeAutospacing="0"/>
        <w:rPr>
          <w:rFonts w:ascii="Times New Roman" w:hAnsi="Times New Roman"/>
          <w:color w:val="auto"/>
          <w:sz w:val="24"/>
          <w:szCs w:val="24"/>
        </w:rPr>
      </w:pPr>
      <w:r w:rsidRPr="00E04794">
        <w:rPr>
          <w:rFonts w:ascii="Times New Roman" w:hAnsi="Times New Roman"/>
          <w:color w:val="auto"/>
          <w:sz w:val="24"/>
          <w:szCs w:val="24"/>
        </w:rPr>
        <w:t>CTE Advisory Committee</w:t>
      </w:r>
    </w:p>
    <w:p w14:paraId="65A119A3" w14:textId="77777777" w:rsidR="00F17492" w:rsidRPr="00E04794" w:rsidRDefault="00F17492" w:rsidP="00B4374C">
      <w:pPr>
        <w:pStyle w:val="NormalWeb"/>
        <w:numPr>
          <w:ilvl w:val="0"/>
          <w:numId w:val="11"/>
        </w:numPr>
        <w:spacing w:before="0" w:beforeAutospacing="0"/>
        <w:rPr>
          <w:rFonts w:ascii="Times New Roman" w:hAnsi="Times New Roman"/>
          <w:color w:val="auto"/>
          <w:sz w:val="24"/>
          <w:szCs w:val="24"/>
        </w:rPr>
      </w:pPr>
      <w:r w:rsidRPr="00E04794">
        <w:rPr>
          <w:rFonts w:ascii="Times New Roman" w:hAnsi="Times New Roman"/>
          <w:color w:val="auto"/>
          <w:sz w:val="24"/>
          <w:szCs w:val="24"/>
        </w:rPr>
        <w:t>Competency</w:t>
      </w:r>
      <w:r w:rsidR="00BF161E">
        <w:rPr>
          <w:rFonts w:ascii="Times New Roman" w:hAnsi="Times New Roman"/>
          <w:color w:val="auto"/>
          <w:sz w:val="24"/>
          <w:szCs w:val="24"/>
        </w:rPr>
        <w:t>-</w:t>
      </w:r>
      <w:r w:rsidRPr="00E04794">
        <w:rPr>
          <w:rFonts w:ascii="Times New Roman" w:hAnsi="Times New Roman"/>
          <w:color w:val="auto"/>
          <w:sz w:val="24"/>
          <w:szCs w:val="24"/>
        </w:rPr>
        <w:t>Based Education</w:t>
      </w:r>
    </w:p>
    <w:p w14:paraId="70617CDF" w14:textId="77777777" w:rsidR="00F17492" w:rsidRPr="00E04794" w:rsidRDefault="00F17492" w:rsidP="00B4374C">
      <w:pPr>
        <w:pStyle w:val="NormalWeb"/>
        <w:numPr>
          <w:ilvl w:val="0"/>
          <w:numId w:val="11"/>
        </w:numPr>
        <w:spacing w:before="0" w:beforeAutospacing="0"/>
        <w:rPr>
          <w:rFonts w:ascii="Times New Roman" w:hAnsi="Times New Roman"/>
          <w:color w:val="auto"/>
          <w:sz w:val="24"/>
          <w:szCs w:val="24"/>
        </w:rPr>
      </w:pPr>
      <w:r w:rsidRPr="00E04794">
        <w:rPr>
          <w:rFonts w:ascii="Times New Roman" w:hAnsi="Times New Roman"/>
          <w:color w:val="auto"/>
          <w:sz w:val="24"/>
          <w:szCs w:val="24"/>
        </w:rPr>
        <w:t>Career and Technical Student Organizations</w:t>
      </w:r>
    </w:p>
    <w:p w14:paraId="67005E1C" w14:textId="77777777" w:rsidR="00F17492" w:rsidRPr="00E04794" w:rsidRDefault="00F17492" w:rsidP="00B4374C">
      <w:pPr>
        <w:pStyle w:val="NormalWeb"/>
        <w:numPr>
          <w:ilvl w:val="0"/>
          <w:numId w:val="11"/>
        </w:numPr>
        <w:spacing w:before="0" w:beforeAutospacing="0"/>
        <w:rPr>
          <w:rFonts w:ascii="Times New Roman" w:hAnsi="Times New Roman"/>
          <w:color w:val="auto"/>
          <w:sz w:val="24"/>
          <w:szCs w:val="24"/>
        </w:rPr>
      </w:pPr>
      <w:r w:rsidRPr="00E04794">
        <w:rPr>
          <w:rFonts w:ascii="Times New Roman" w:hAnsi="Times New Roman"/>
          <w:color w:val="auto"/>
          <w:sz w:val="24"/>
          <w:szCs w:val="24"/>
        </w:rPr>
        <w:t>Work-</w:t>
      </w:r>
      <w:r w:rsidR="00BF161E">
        <w:rPr>
          <w:rFonts w:ascii="Times New Roman" w:hAnsi="Times New Roman"/>
          <w:color w:val="auto"/>
          <w:sz w:val="24"/>
          <w:szCs w:val="24"/>
        </w:rPr>
        <w:t>B</w:t>
      </w:r>
      <w:r w:rsidRPr="00E04794">
        <w:rPr>
          <w:rFonts w:ascii="Times New Roman" w:hAnsi="Times New Roman"/>
          <w:color w:val="auto"/>
          <w:sz w:val="24"/>
          <w:szCs w:val="24"/>
        </w:rPr>
        <w:t>ased Learning</w:t>
      </w:r>
    </w:p>
    <w:p w14:paraId="142755FB" w14:textId="77777777" w:rsidR="00F17492" w:rsidRPr="00E04794" w:rsidRDefault="00F17492" w:rsidP="00B4374C">
      <w:pPr>
        <w:pStyle w:val="NormalWeb"/>
        <w:numPr>
          <w:ilvl w:val="0"/>
          <w:numId w:val="11"/>
        </w:numPr>
        <w:spacing w:before="0" w:beforeAutospacing="0"/>
        <w:rPr>
          <w:rFonts w:ascii="Times New Roman" w:hAnsi="Times New Roman"/>
          <w:color w:val="auto"/>
          <w:sz w:val="24"/>
          <w:szCs w:val="24"/>
        </w:rPr>
      </w:pPr>
      <w:r w:rsidRPr="00E04794">
        <w:rPr>
          <w:rFonts w:ascii="Times New Roman" w:hAnsi="Times New Roman"/>
          <w:color w:val="auto"/>
          <w:sz w:val="24"/>
          <w:szCs w:val="24"/>
        </w:rPr>
        <w:t>Equipment</w:t>
      </w:r>
    </w:p>
    <w:p w14:paraId="441A30AF" w14:textId="77777777" w:rsidR="00F17492" w:rsidRPr="00E04794" w:rsidRDefault="00F17492" w:rsidP="00B4374C">
      <w:pPr>
        <w:pStyle w:val="NormalWeb"/>
        <w:numPr>
          <w:ilvl w:val="0"/>
          <w:numId w:val="11"/>
        </w:numPr>
        <w:spacing w:before="0" w:beforeAutospacing="0"/>
        <w:rPr>
          <w:rFonts w:ascii="Times New Roman" w:hAnsi="Times New Roman"/>
          <w:color w:val="auto"/>
          <w:sz w:val="24"/>
          <w:szCs w:val="24"/>
        </w:rPr>
      </w:pPr>
      <w:r w:rsidRPr="00E04794">
        <w:rPr>
          <w:rFonts w:ascii="Times New Roman" w:hAnsi="Times New Roman"/>
          <w:color w:val="auto"/>
          <w:sz w:val="24"/>
          <w:szCs w:val="24"/>
        </w:rPr>
        <w:t>Safety</w:t>
      </w:r>
    </w:p>
    <w:p w14:paraId="3BCA93C0" w14:textId="77777777" w:rsidR="00F17492" w:rsidRPr="00E04794" w:rsidRDefault="00F17492" w:rsidP="00B4374C">
      <w:pPr>
        <w:pStyle w:val="NormalWeb"/>
        <w:numPr>
          <w:ilvl w:val="0"/>
          <w:numId w:val="11"/>
        </w:numPr>
        <w:spacing w:before="0" w:beforeAutospacing="0"/>
        <w:rPr>
          <w:rFonts w:ascii="Times New Roman" w:hAnsi="Times New Roman"/>
          <w:color w:val="auto"/>
          <w:sz w:val="24"/>
          <w:szCs w:val="24"/>
        </w:rPr>
      </w:pPr>
      <w:r w:rsidRPr="00E04794">
        <w:rPr>
          <w:rFonts w:ascii="Times New Roman" w:hAnsi="Times New Roman"/>
          <w:color w:val="auto"/>
          <w:sz w:val="24"/>
          <w:szCs w:val="24"/>
        </w:rPr>
        <w:t>Standards of Quality and Accreditation</w:t>
      </w:r>
    </w:p>
    <w:p w14:paraId="6592EEFC" w14:textId="77777777" w:rsidR="005D132F" w:rsidRPr="00E04794" w:rsidRDefault="00251EF8" w:rsidP="00B4374C">
      <w:pPr>
        <w:pStyle w:val="NormalWeb"/>
        <w:spacing w:before="0" w:beforeAutospacing="0"/>
        <w:rPr>
          <w:rFonts w:ascii="Times New Roman" w:hAnsi="Times New Roman"/>
          <w:color w:val="auto"/>
          <w:sz w:val="24"/>
          <w:szCs w:val="24"/>
        </w:rPr>
      </w:pPr>
      <w:r w:rsidRPr="00E04794">
        <w:rPr>
          <w:rFonts w:ascii="Times New Roman" w:hAnsi="Times New Roman"/>
          <w:color w:val="auto"/>
          <w:sz w:val="24"/>
          <w:szCs w:val="24"/>
        </w:rPr>
        <w:t xml:space="preserve">School divisions have </w:t>
      </w:r>
      <w:r w:rsidRPr="009078C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4855CD" w:rsidRPr="009078C4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9078C4">
        <w:rPr>
          <w:rFonts w:ascii="Times New Roman" w:hAnsi="Times New Roman"/>
          <w:b/>
          <w:color w:val="000000"/>
          <w:sz w:val="24"/>
          <w:szCs w:val="24"/>
        </w:rPr>
        <w:t xml:space="preserve"> calendar days</w:t>
      </w:r>
      <w:r w:rsidRPr="00E04794">
        <w:rPr>
          <w:rFonts w:ascii="Times New Roman" w:hAnsi="Times New Roman"/>
          <w:color w:val="auto"/>
          <w:sz w:val="24"/>
          <w:szCs w:val="24"/>
        </w:rPr>
        <w:t xml:space="preserve"> to review and respond to the draft </w:t>
      </w:r>
      <w:r w:rsidR="00B6674B" w:rsidRPr="00E04794">
        <w:rPr>
          <w:rFonts w:ascii="Times New Roman" w:hAnsi="Times New Roman"/>
          <w:color w:val="auto"/>
          <w:sz w:val="24"/>
          <w:szCs w:val="24"/>
        </w:rPr>
        <w:t>R</w:t>
      </w:r>
      <w:r w:rsidRPr="00E04794">
        <w:rPr>
          <w:rFonts w:ascii="Times New Roman" w:hAnsi="Times New Roman"/>
          <w:color w:val="auto"/>
          <w:sz w:val="24"/>
          <w:szCs w:val="24"/>
        </w:rPr>
        <w:t>OF</w:t>
      </w:r>
      <w:r w:rsidR="00E378BC" w:rsidRPr="00E04794">
        <w:rPr>
          <w:rFonts w:ascii="Times New Roman" w:hAnsi="Times New Roman"/>
          <w:color w:val="auto"/>
          <w:sz w:val="24"/>
          <w:szCs w:val="24"/>
        </w:rPr>
        <w:t>.</w:t>
      </w:r>
      <w:r w:rsidR="00F37B1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04794">
        <w:rPr>
          <w:rFonts w:ascii="Times New Roman" w:hAnsi="Times New Roman"/>
          <w:color w:val="auto"/>
          <w:sz w:val="24"/>
          <w:szCs w:val="24"/>
        </w:rPr>
        <w:t xml:space="preserve">If there are questions, </w:t>
      </w:r>
      <w:r w:rsidR="00E378BC" w:rsidRPr="00E04794">
        <w:rPr>
          <w:rFonts w:ascii="Times New Roman" w:hAnsi="Times New Roman"/>
          <w:color w:val="auto"/>
          <w:sz w:val="24"/>
          <w:szCs w:val="24"/>
        </w:rPr>
        <w:t>technical assistance will be provided.</w:t>
      </w:r>
      <w:r w:rsidR="00F37B1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C6AF6" w:rsidRPr="00E04794">
        <w:rPr>
          <w:rFonts w:ascii="Times New Roman" w:hAnsi="Times New Roman"/>
          <w:color w:val="auto"/>
          <w:sz w:val="24"/>
          <w:szCs w:val="24"/>
        </w:rPr>
        <w:t xml:space="preserve">If no response is received from the </w:t>
      </w:r>
      <w:r w:rsidR="009078C4">
        <w:rPr>
          <w:rFonts w:ascii="Times New Roman" w:hAnsi="Times New Roman"/>
          <w:color w:val="auto"/>
          <w:sz w:val="24"/>
          <w:szCs w:val="24"/>
        </w:rPr>
        <w:t xml:space="preserve">school </w:t>
      </w:r>
      <w:r w:rsidR="009C6AF6" w:rsidRPr="00E04794">
        <w:rPr>
          <w:rFonts w:ascii="Times New Roman" w:hAnsi="Times New Roman"/>
          <w:color w:val="auto"/>
          <w:sz w:val="24"/>
          <w:szCs w:val="24"/>
        </w:rPr>
        <w:t>division, t</w:t>
      </w:r>
      <w:r w:rsidR="00FB5734" w:rsidRPr="00E04794">
        <w:rPr>
          <w:rFonts w:ascii="Times New Roman" w:hAnsi="Times New Roman"/>
          <w:color w:val="auto"/>
          <w:sz w:val="24"/>
          <w:szCs w:val="24"/>
        </w:rPr>
        <w:t>he draft report will be</w:t>
      </w:r>
      <w:r w:rsidR="00E378BC" w:rsidRPr="00E04794">
        <w:rPr>
          <w:rFonts w:ascii="Times New Roman" w:hAnsi="Times New Roman"/>
          <w:color w:val="auto"/>
          <w:sz w:val="24"/>
          <w:szCs w:val="24"/>
        </w:rPr>
        <w:t xml:space="preserve">come final after </w:t>
      </w:r>
      <w:r w:rsidR="004855CD" w:rsidRPr="009078C4">
        <w:rPr>
          <w:rFonts w:ascii="Times New Roman" w:hAnsi="Times New Roman"/>
          <w:b/>
          <w:color w:val="auto"/>
          <w:sz w:val="24"/>
          <w:szCs w:val="24"/>
        </w:rPr>
        <w:t>14</w:t>
      </w:r>
      <w:r w:rsidR="00E378BC" w:rsidRPr="009078C4">
        <w:rPr>
          <w:rFonts w:ascii="Times New Roman" w:hAnsi="Times New Roman"/>
          <w:b/>
          <w:color w:val="auto"/>
          <w:sz w:val="24"/>
          <w:szCs w:val="24"/>
        </w:rPr>
        <w:t xml:space="preserve"> calendar days</w:t>
      </w:r>
      <w:r w:rsidR="00E378BC" w:rsidRPr="00E04794">
        <w:rPr>
          <w:rFonts w:ascii="Times New Roman" w:hAnsi="Times New Roman"/>
          <w:color w:val="auto"/>
          <w:sz w:val="24"/>
          <w:szCs w:val="24"/>
        </w:rPr>
        <w:t>.</w:t>
      </w:r>
      <w:r w:rsidR="00FB5734" w:rsidRPr="00E0479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0E72944" w14:textId="77777777" w:rsidR="00B4374C" w:rsidRPr="00E04794" w:rsidRDefault="00B4374C" w:rsidP="00454177">
      <w:pPr>
        <w:pStyle w:val="NormalWeb"/>
        <w:rPr>
          <w:rFonts w:ascii="Times New Roman" w:hAnsi="Times New Roman"/>
          <w:color w:val="auto"/>
          <w:sz w:val="24"/>
          <w:szCs w:val="24"/>
        </w:rPr>
      </w:pPr>
      <w:r w:rsidRPr="00E04794">
        <w:rPr>
          <w:rFonts w:ascii="Times New Roman" w:hAnsi="Times New Roman"/>
          <w:b/>
          <w:color w:val="auto"/>
          <w:sz w:val="24"/>
          <w:szCs w:val="24"/>
        </w:rPr>
        <w:t>Corrective Action</w:t>
      </w:r>
      <w:r w:rsidR="0052362C" w:rsidRPr="00E04794">
        <w:rPr>
          <w:rFonts w:ascii="Times New Roman" w:hAnsi="Times New Roman"/>
          <w:b/>
          <w:color w:val="auto"/>
          <w:sz w:val="24"/>
          <w:szCs w:val="24"/>
        </w:rPr>
        <w:t xml:space="preserve"> Plan</w:t>
      </w:r>
      <w:r w:rsidRPr="00E04794">
        <w:rPr>
          <w:rFonts w:ascii="Times New Roman" w:hAnsi="Times New Roman"/>
          <w:b/>
          <w:color w:val="auto"/>
          <w:sz w:val="24"/>
          <w:szCs w:val="24"/>
        </w:rPr>
        <w:t xml:space="preserve"> (CAP)</w:t>
      </w:r>
      <w:r w:rsidR="0052362C" w:rsidRPr="00E04794">
        <w:rPr>
          <w:rFonts w:ascii="Times New Roman" w:hAnsi="Times New Roman"/>
          <w:b/>
          <w:color w:val="auto"/>
          <w:sz w:val="24"/>
          <w:szCs w:val="24"/>
        </w:rPr>
        <w:t>:</w:t>
      </w:r>
      <w:r w:rsidR="0052362C" w:rsidRPr="00E0479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F0F54" w:rsidRPr="00E04794">
        <w:rPr>
          <w:rFonts w:ascii="Times New Roman" w:hAnsi="Times New Roman"/>
          <w:color w:val="auto"/>
          <w:sz w:val="24"/>
          <w:szCs w:val="24"/>
        </w:rPr>
        <w:t xml:space="preserve">If the development of the </w:t>
      </w:r>
      <w:r w:rsidRPr="00E04794">
        <w:rPr>
          <w:rFonts w:ascii="Times New Roman" w:hAnsi="Times New Roman"/>
          <w:color w:val="auto"/>
          <w:sz w:val="24"/>
          <w:szCs w:val="24"/>
        </w:rPr>
        <w:t>CAP</w:t>
      </w:r>
      <w:r w:rsidR="00DF0F54" w:rsidRPr="00E04794">
        <w:rPr>
          <w:rFonts w:ascii="Times New Roman" w:hAnsi="Times New Roman"/>
          <w:color w:val="auto"/>
          <w:sz w:val="24"/>
          <w:szCs w:val="24"/>
        </w:rPr>
        <w:t xml:space="preserve"> occurs on schedule, the finalized </w:t>
      </w:r>
      <w:r w:rsidRPr="00E04794">
        <w:rPr>
          <w:rFonts w:ascii="Times New Roman" w:hAnsi="Times New Roman"/>
          <w:color w:val="auto"/>
          <w:sz w:val="24"/>
          <w:szCs w:val="24"/>
        </w:rPr>
        <w:t>CAP</w:t>
      </w:r>
      <w:r w:rsidR="00DF0F54" w:rsidRPr="00E04794">
        <w:rPr>
          <w:rFonts w:ascii="Times New Roman" w:hAnsi="Times New Roman"/>
          <w:color w:val="auto"/>
          <w:sz w:val="24"/>
          <w:szCs w:val="24"/>
        </w:rPr>
        <w:t xml:space="preserve"> should be </w:t>
      </w:r>
      <w:r w:rsidR="009078C4">
        <w:rPr>
          <w:rFonts w:ascii="Times New Roman" w:hAnsi="Times New Roman"/>
          <w:color w:val="auto"/>
          <w:sz w:val="24"/>
          <w:szCs w:val="24"/>
        </w:rPr>
        <w:t xml:space="preserve">finalized </w:t>
      </w:r>
      <w:r w:rsidR="00DF0F54" w:rsidRPr="00E04794">
        <w:rPr>
          <w:rFonts w:ascii="Times New Roman" w:hAnsi="Times New Roman"/>
          <w:color w:val="auto"/>
          <w:sz w:val="24"/>
          <w:szCs w:val="24"/>
        </w:rPr>
        <w:t xml:space="preserve">a maximum of </w:t>
      </w:r>
      <w:r w:rsidR="0082634D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B6674B" w:rsidRPr="00E047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F0F54" w:rsidRPr="00E04794">
        <w:rPr>
          <w:rFonts w:ascii="Times New Roman" w:hAnsi="Times New Roman"/>
          <w:b/>
          <w:color w:val="000000"/>
          <w:sz w:val="24"/>
          <w:szCs w:val="24"/>
        </w:rPr>
        <w:t>calendar days</w:t>
      </w:r>
      <w:r w:rsidR="00DF0F54" w:rsidRPr="00E04794">
        <w:rPr>
          <w:rFonts w:ascii="Times New Roman" w:hAnsi="Times New Roman"/>
          <w:color w:val="auto"/>
          <w:sz w:val="24"/>
          <w:szCs w:val="24"/>
        </w:rPr>
        <w:t xml:space="preserve"> from the date of the </w:t>
      </w:r>
      <w:r w:rsidR="00B6674B" w:rsidRPr="00E04794">
        <w:rPr>
          <w:rFonts w:ascii="Times New Roman" w:hAnsi="Times New Roman"/>
          <w:color w:val="auto"/>
          <w:sz w:val="24"/>
          <w:szCs w:val="24"/>
        </w:rPr>
        <w:t xml:space="preserve">final </w:t>
      </w:r>
      <w:r w:rsidRPr="00E04794">
        <w:rPr>
          <w:rFonts w:ascii="Times New Roman" w:hAnsi="Times New Roman"/>
          <w:color w:val="auto"/>
          <w:sz w:val="24"/>
          <w:szCs w:val="24"/>
        </w:rPr>
        <w:t>R</w:t>
      </w:r>
      <w:r w:rsidR="00DF0F54" w:rsidRPr="00E04794">
        <w:rPr>
          <w:rFonts w:ascii="Times New Roman" w:hAnsi="Times New Roman"/>
          <w:color w:val="auto"/>
          <w:sz w:val="24"/>
          <w:szCs w:val="24"/>
        </w:rPr>
        <w:t>OF.</w:t>
      </w:r>
      <w:bookmarkStart w:id="0" w:name="OLE_LINK1"/>
      <w:bookmarkStart w:id="1" w:name="OLE_LINK2"/>
      <w:r w:rsidR="00617B75" w:rsidRPr="00E04794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2" w:name="OLE_LINK3"/>
      <w:bookmarkStart w:id="3" w:name="OLE_LINK4"/>
      <w:bookmarkEnd w:id="0"/>
      <w:bookmarkEnd w:id="1"/>
    </w:p>
    <w:p w14:paraId="4F26E8DF" w14:textId="77777777" w:rsidR="00E740CE" w:rsidRPr="00E04794" w:rsidRDefault="00F721FB">
      <w:pPr>
        <w:pStyle w:val="NormalWeb"/>
        <w:rPr>
          <w:rFonts w:ascii="Times New Roman" w:hAnsi="Times New Roman"/>
          <w:color w:val="auto"/>
          <w:sz w:val="22"/>
          <w:szCs w:val="22"/>
        </w:rPr>
      </w:pPr>
      <w:r w:rsidRPr="00E04794">
        <w:rPr>
          <w:rFonts w:ascii="Times New Roman" w:hAnsi="Times New Roman"/>
          <w:b/>
          <w:color w:val="auto"/>
          <w:sz w:val="24"/>
          <w:szCs w:val="24"/>
        </w:rPr>
        <w:t>Letter of Closure</w:t>
      </w:r>
      <w:r w:rsidRPr="00E04794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4E7A47" w:rsidRPr="00E04794">
        <w:rPr>
          <w:rFonts w:ascii="Times New Roman" w:hAnsi="Times New Roman"/>
          <w:color w:val="auto"/>
          <w:sz w:val="24"/>
          <w:szCs w:val="24"/>
        </w:rPr>
        <w:t xml:space="preserve">Upon receipt of </w:t>
      </w:r>
      <w:r w:rsidR="00E464BD" w:rsidRPr="00E04794">
        <w:rPr>
          <w:rFonts w:ascii="Times New Roman" w:hAnsi="Times New Roman"/>
          <w:color w:val="auto"/>
          <w:sz w:val="24"/>
          <w:szCs w:val="24"/>
        </w:rPr>
        <w:t xml:space="preserve">the documentation </w:t>
      </w:r>
      <w:r w:rsidRPr="00E04794">
        <w:rPr>
          <w:rFonts w:ascii="Times New Roman" w:hAnsi="Times New Roman"/>
          <w:color w:val="auto"/>
          <w:sz w:val="24"/>
          <w:szCs w:val="24"/>
        </w:rPr>
        <w:t>that</w:t>
      </w:r>
      <w:r w:rsidR="004E7A47" w:rsidRPr="00E04794">
        <w:rPr>
          <w:rFonts w:ascii="Times New Roman" w:hAnsi="Times New Roman"/>
          <w:color w:val="auto"/>
          <w:sz w:val="24"/>
          <w:szCs w:val="24"/>
        </w:rPr>
        <w:t xml:space="preserve"> supports </w:t>
      </w:r>
      <w:r w:rsidRPr="00E04794">
        <w:rPr>
          <w:rFonts w:ascii="Times New Roman" w:hAnsi="Times New Roman"/>
          <w:color w:val="auto"/>
          <w:sz w:val="24"/>
          <w:szCs w:val="24"/>
        </w:rPr>
        <w:t xml:space="preserve">the </w:t>
      </w:r>
      <w:r w:rsidR="004E7A47" w:rsidRPr="00E04794">
        <w:rPr>
          <w:rFonts w:ascii="Times New Roman" w:hAnsi="Times New Roman"/>
          <w:color w:val="auto"/>
          <w:sz w:val="24"/>
          <w:szCs w:val="24"/>
        </w:rPr>
        <w:t xml:space="preserve">successful completion of the </w:t>
      </w:r>
      <w:r w:rsidR="004E7A47" w:rsidRPr="00E04794">
        <w:rPr>
          <w:rFonts w:ascii="Times New Roman" w:hAnsi="Times New Roman"/>
          <w:b/>
          <w:bCs/>
          <w:color w:val="auto"/>
          <w:sz w:val="24"/>
          <w:szCs w:val="24"/>
        </w:rPr>
        <w:t>entire</w:t>
      </w:r>
      <w:r w:rsidR="004E7A47" w:rsidRPr="00E0479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4374C" w:rsidRPr="00E04794">
        <w:rPr>
          <w:rFonts w:ascii="Times New Roman" w:hAnsi="Times New Roman"/>
          <w:color w:val="auto"/>
          <w:sz w:val="24"/>
          <w:szCs w:val="24"/>
        </w:rPr>
        <w:t>CAP</w:t>
      </w:r>
      <w:r w:rsidR="004E7A47" w:rsidRPr="00E04794">
        <w:rPr>
          <w:rFonts w:ascii="Times New Roman" w:hAnsi="Times New Roman"/>
          <w:color w:val="auto"/>
          <w:sz w:val="24"/>
          <w:szCs w:val="24"/>
        </w:rPr>
        <w:t xml:space="preserve">, a letter of closure of the </w:t>
      </w:r>
      <w:r w:rsidR="00B4374C" w:rsidRPr="00E04794">
        <w:rPr>
          <w:rFonts w:ascii="Times New Roman" w:hAnsi="Times New Roman"/>
          <w:color w:val="auto"/>
          <w:sz w:val="24"/>
          <w:szCs w:val="24"/>
        </w:rPr>
        <w:t>federal program monitoring</w:t>
      </w:r>
      <w:r w:rsidR="004E7A47" w:rsidRPr="00E04794">
        <w:rPr>
          <w:rFonts w:ascii="Times New Roman" w:hAnsi="Times New Roman"/>
          <w:color w:val="auto"/>
          <w:sz w:val="24"/>
          <w:szCs w:val="24"/>
        </w:rPr>
        <w:t xml:space="preserve"> review will be </w:t>
      </w:r>
      <w:r w:rsidR="00617B75" w:rsidRPr="00E04794">
        <w:rPr>
          <w:rFonts w:ascii="Times New Roman" w:hAnsi="Times New Roman"/>
          <w:color w:val="auto"/>
          <w:sz w:val="24"/>
          <w:szCs w:val="24"/>
        </w:rPr>
        <w:t>sent</w:t>
      </w:r>
      <w:r w:rsidR="004E7A47" w:rsidRPr="00E04794">
        <w:rPr>
          <w:rFonts w:ascii="Times New Roman" w:hAnsi="Times New Roman"/>
          <w:color w:val="auto"/>
          <w:sz w:val="24"/>
          <w:szCs w:val="24"/>
        </w:rPr>
        <w:t xml:space="preserve"> to the </w:t>
      </w:r>
      <w:r w:rsidR="009078C4">
        <w:rPr>
          <w:rFonts w:ascii="Times New Roman" w:hAnsi="Times New Roman"/>
          <w:color w:val="auto"/>
          <w:sz w:val="24"/>
          <w:szCs w:val="24"/>
        </w:rPr>
        <w:t xml:space="preserve">school </w:t>
      </w:r>
      <w:r w:rsidR="004E7A47" w:rsidRPr="00E04794">
        <w:rPr>
          <w:rFonts w:ascii="Times New Roman" w:hAnsi="Times New Roman"/>
          <w:color w:val="auto"/>
          <w:sz w:val="24"/>
          <w:szCs w:val="24"/>
        </w:rPr>
        <w:t>division superintendent</w:t>
      </w:r>
      <w:r w:rsidR="00617B75" w:rsidRPr="00E04794">
        <w:rPr>
          <w:rFonts w:ascii="Times New Roman" w:hAnsi="Times New Roman"/>
          <w:color w:val="auto"/>
          <w:sz w:val="24"/>
          <w:szCs w:val="24"/>
        </w:rPr>
        <w:t>.</w:t>
      </w:r>
      <w:bookmarkEnd w:id="2"/>
      <w:bookmarkEnd w:id="3"/>
    </w:p>
    <w:sectPr w:rsidR="00E740CE" w:rsidRPr="00E04794" w:rsidSect="00E04794">
      <w:footerReference w:type="default" r:id="rId9"/>
      <w:pgSz w:w="12240" w:h="15840"/>
      <w:pgMar w:top="1296" w:right="1440" w:bottom="129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18F12" w14:textId="77777777" w:rsidR="00FC20A8" w:rsidRDefault="00FC20A8" w:rsidP="00E464BD">
      <w:r>
        <w:separator/>
      </w:r>
    </w:p>
  </w:endnote>
  <w:endnote w:type="continuationSeparator" w:id="0">
    <w:p w14:paraId="33ABCEE9" w14:textId="77777777" w:rsidR="00FC20A8" w:rsidRDefault="00FC20A8" w:rsidP="00E4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0F432" w14:textId="25E2738E" w:rsidR="00E740CE" w:rsidRDefault="00E464BD" w:rsidP="00D04295">
    <w:pPr>
      <w:pStyle w:val="Foot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PAGE   \* MERGEFORMAT </w:instrText>
    </w:r>
    <w:r>
      <w:fldChar w:fldCharType="separate"/>
    </w:r>
    <w:r w:rsidR="00F37B18">
      <w:rPr>
        <w:noProof/>
      </w:rPr>
      <w:t>2</w:t>
    </w:r>
    <w:r>
      <w:rPr>
        <w:noProof/>
      </w:rPr>
      <w:fldChar w:fldCharType="end"/>
    </w:r>
    <w:r w:rsidR="004F607D">
      <w:rPr>
        <w:noProof/>
      </w:rPr>
      <w:t xml:space="preserve"> </w:t>
    </w:r>
    <w:r w:rsidR="004F607D">
      <w:rPr>
        <w:noProof/>
      </w:rPr>
      <w:tab/>
      <w:t>Virginia Department of Education</w:t>
    </w:r>
    <w:r w:rsidR="008A4672">
      <w:rPr>
        <w:noProof/>
      </w:rPr>
      <w:t xml:space="preserve">, </w:t>
    </w:r>
    <w:r w:rsidR="004F607D">
      <w:rPr>
        <w:noProof/>
      </w:rPr>
      <w:t>Office of Career</w:t>
    </w:r>
    <w:r w:rsidR="008A4672">
      <w:rPr>
        <w:noProof/>
      </w:rPr>
      <w:t xml:space="preserve"> and T</w:t>
    </w:r>
    <w:r w:rsidR="004F607D">
      <w:rPr>
        <w:noProof/>
      </w:rPr>
      <w:t>echnical</w:t>
    </w:r>
    <w:r w:rsidR="00E740CE">
      <w:rPr>
        <w:noProof/>
      </w:rPr>
      <w:t xml:space="preserve"> </w:t>
    </w:r>
    <w:r w:rsidR="004F607D">
      <w:rPr>
        <w:noProof/>
      </w:rPr>
      <w:t>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A6FBE" w14:textId="77777777" w:rsidR="00FC20A8" w:rsidRDefault="00FC20A8" w:rsidP="00E464BD">
      <w:r>
        <w:separator/>
      </w:r>
    </w:p>
  </w:footnote>
  <w:footnote w:type="continuationSeparator" w:id="0">
    <w:p w14:paraId="5A73EC56" w14:textId="77777777" w:rsidR="00FC20A8" w:rsidRDefault="00FC20A8" w:rsidP="00E4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D61"/>
    <w:multiLevelType w:val="hybridMultilevel"/>
    <w:tmpl w:val="00284424"/>
    <w:lvl w:ilvl="0" w:tplc="4FBE9D2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28E9"/>
    <w:multiLevelType w:val="hybridMultilevel"/>
    <w:tmpl w:val="C6DC9D48"/>
    <w:lvl w:ilvl="0" w:tplc="4FBE9D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1D27FD"/>
    <w:multiLevelType w:val="hybridMultilevel"/>
    <w:tmpl w:val="B5B43E18"/>
    <w:lvl w:ilvl="0" w:tplc="933AB9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EFC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8E5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E09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6EA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CC36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A93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4255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4BA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893"/>
    <w:multiLevelType w:val="hybridMultilevel"/>
    <w:tmpl w:val="4F108FD2"/>
    <w:lvl w:ilvl="0" w:tplc="4FBE9D2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FA034F"/>
    <w:multiLevelType w:val="hybridMultilevel"/>
    <w:tmpl w:val="2D0462CE"/>
    <w:lvl w:ilvl="0" w:tplc="0318F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DCC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0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A8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58B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40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9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C3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0D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37446C"/>
    <w:multiLevelType w:val="hybridMultilevel"/>
    <w:tmpl w:val="51220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D447AD"/>
    <w:multiLevelType w:val="hybridMultilevel"/>
    <w:tmpl w:val="E0B28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7048C8"/>
    <w:multiLevelType w:val="hybridMultilevel"/>
    <w:tmpl w:val="DB502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77140"/>
    <w:multiLevelType w:val="hybridMultilevel"/>
    <w:tmpl w:val="D9CC0F66"/>
    <w:lvl w:ilvl="0" w:tplc="0F2A32BA">
      <w:start w:val="1"/>
      <w:numFmt w:val="decimal"/>
      <w:lvlText w:val="%1)"/>
      <w:lvlJc w:val="left"/>
      <w:pPr>
        <w:ind w:left="29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9" w15:restartNumberingAfterBreak="0">
    <w:nsid w:val="4888573F"/>
    <w:multiLevelType w:val="hybridMultilevel"/>
    <w:tmpl w:val="B358EEA4"/>
    <w:lvl w:ilvl="0" w:tplc="21D42C92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486C96"/>
    <w:multiLevelType w:val="hybridMultilevel"/>
    <w:tmpl w:val="161A2A54"/>
    <w:lvl w:ilvl="0" w:tplc="4FBE9D2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A77506"/>
    <w:multiLevelType w:val="hybridMultilevel"/>
    <w:tmpl w:val="5994F8DA"/>
    <w:lvl w:ilvl="0" w:tplc="F3908CDC">
      <w:start w:val="1"/>
      <w:numFmt w:val="bullet"/>
      <w:lvlText w:val="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F1BB3"/>
    <w:multiLevelType w:val="hybridMultilevel"/>
    <w:tmpl w:val="FD56561A"/>
    <w:lvl w:ilvl="0" w:tplc="AF04C5D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543895"/>
    <w:multiLevelType w:val="hybridMultilevel"/>
    <w:tmpl w:val="6A745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9065C"/>
    <w:multiLevelType w:val="hybridMultilevel"/>
    <w:tmpl w:val="74E629CA"/>
    <w:lvl w:ilvl="0" w:tplc="8A3A5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CE7A8">
      <w:start w:val="14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A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6A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85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64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AF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1A7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81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561A29"/>
    <w:multiLevelType w:val="hybridMultilevel"/>
    <w:tmpl w:val="7966A1A4"/>
    <w:lvl w:ilvl="0" w:tplc="441E9E4A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DA42A2"/>
    <w:multiLevelType w:val="multilevel"/>
    <w:tmpl w:val="5994F8DA"/>
    <w:lvl w:ilvl="0">
      <w:start w:val="1"/>
      <w:numFmt w:val="bullet"/>
      <w:lvlText w:val="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6F17A5"/>
    <w:multiLevelType w:val="hybridMultilevel"/>
    <w:tmpl w:val="97008588"/>
    <w:lvl w:ilvl="0" w:tplc="4FBE9D28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1639340567">
    <w:abstractNumId w:val="11"/>
  </w:num>
  <w:num w:numId="2" w16cid:durableId="719131316">
    <w:abstractNumId w:val="9"/>
  </w:num>
  <w:num w:numId="3" w16cid:durableId="1533301026">
    <w:abstractNumId w:val="12"/>
  </w:num>
  <w:num w:numId="4" w16cid:durableId="1676574663">
    <w:abstractNumId w:val="16"/>
  </w:num>
  <w:num w:numId="5" w16cid:durableId="39211282">
    <w:abstractNumId w:val="15"/>
  </w:num>
  <w:num w:numId="6" w16cid:durableId="1456100571">
    <w:abstractNumId w:val="0"/>
  </w:num>
  <w:num w:numId="7" w16cid:durableId="1227376574">
    <w:abstractNumId w:val="10"/>
  </w:num>
  <w:num w:numId="8" w16cid:durableId="907809461">
    <w:abstractNumId w:val="3"/>
  </w:num>
  <w:num w:numId="9" w16cid:durableId="1442070573">
    <w:abstractNumId w:val="17"/>
  </w:num>
  <w:num w:numId="10" w16cid:durableId="877280411">
    <w:abstractNumId w:val="2"/>
  </w:num>
  <w:num w:numId="11" w16cid:durableId="938024357">
    <w:abstractNumId w:val="1"/>
  </w:num>
  <w:num w:numId="12" w16cid:durableId="424769561">
    <w:abstractNumId w:val="13"/>
  </w:num>
  <w:num w:numId="13" w16cid:durableId="892471559">
    <w:abstractNumId w:val="7"/>
  </w:num>
  <w:num w:numId="14" w16cid:durableId="1113131965">
    <w:abstractNumId w:val="4"/>
  </w:num>
  <w:num w:numId="15" w16cid:durableId="2093162784">
    <w:abstractNumId w:val="6"/>
  </w:num>
  <w:num w:numId="16" w16cid:durableId="1483808670">
    <w:abstractNumId w:val="14"/>
  </w:num>
  <w:num w:numId="17" w16cid:durableId="1850023272">
    <w:abstractNumId w:val="5"/>
  </w:num>
  <w:num w:numId="18" w16cid:durableId="963193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2B"/>
    <w:rsid w:val="00004705"/>
    <w:rsid w:val="000104C2"/>
    <w:rsid w:val="00051A56"/>
    <w:rsid w:val="0005583D"/>
    <w:rsid w:val="00067A57"/>
    <w:rsid w:val="000912B9"/>
    <w:rsid w:val="000949F8"/>
    <w:rsid w:val="000A7FE9"/>
    <w:rsid w:val="000B2FC7"/>
    <w:rsid w:val="000D5A38"/>
    <w:rsid w:val="000D74A8"/>
    <w:rsid w:val="000E72AA"/>
    <w:rsid w:val="00105890"/>
    <w:rsid w:val="001120C4"/>
    <w:rsid w:val="00117BCA"/>
    <w:rsid w:val="00117F05"/>
    <w:rsid w:val="00121EAD"/>
    <w:rsid w:val="00121F9F"/>
    <w:rsid w:val="001268BC"/>
    <w:rsid w:val="0014255A"/>
    <w:rsid w:val="00143AA2"/>
    <w:rsid w:val="0015159D"/>
    <w:rsid w:val="00155634"/>
    <w:rsid w:val="0017093C"/>
    <w:rsid w:val="00176852"/>
    <w:rsid w:val="001807DB"/>
    <w:rsid w:val="00182EFA"/>
    <w:rsid w:val="00195809"/>
    <w:rsid w:val="001C0574"/>
    <w:rsid w:val="001C4BE7"/>
    <w:rsid w:val="001E3F99"/>
    <w:rsid w:val="00251EF8"/>
    <w:rsid w:val="0025765D"/>
    <w:rsid w:val="00270936"/>
    <w:rsid w:val="002A0001"/>
    <w:rsid w:val="002B02C4"/>
    <w:rsid w:val="002E4EE2"/>
    <w:rsid w:val="002E713D"/>
    <w:rsid w:val="002F257F"/>
    <w:rsid w:val="00300341"/>
    <w:rsid w:val="0030325A"/>
    <w:rsid w:val="003043CE"/>
    <w:rsid w:val="003062F7"/>
    <w:rsid w:val="0031444B"/>
    <w:rsid w:val="003222E7"/>
    <w:rsid w:val="00341513"/>
    <w:rsid w:val="0034596D"/>
    <w:rsid w:val="003A3287"/>
    <w:rsid w:val="003A478B"/>
    <w:rsid w:val="003A61B1"/>
    <w:rsid w:val="003B4434"/>
    <w:rsid w:val="003E6FC7"/>
    <w:rsid w:val="003F3F1C"/>
    <w:rsid w:val="004057B3"/>
    <w:rsid w:val="00407192"/>
    <w:rsid w:val="00421C07"/>
    <w:rsid w:val="00432954"/>
    <w:rsid w:val="00433271"/>
    <w:rsid w:val="00454177"/>
    <w:rsid w:val="00463EF6"/>
    <w:rsid w:val="00481537"/>
    <w:rsid w:val="004855CD"/>
    <w:rsid w:val="004A4330"/>
    <w:rsid w:val="004B598B"/>
    <w:rsid w:val="004E3B89"/>
    <w:rsid w:val="004E4B9F"/>
    <w:rsid w:val="004E7A47"/>
    <w:rsid w:val="004F5C2D"/>
    <w:rsid w:val="004F607D"/>
    <w:rsid w:val="004F78B2"/>
    <w:rsid w:val="005026D8"/>
    <w:rsid w:val="00511D3D"/>
    <w:rsid w:val="00513AAA"/>
    <w:rsid w:val="00514EE1"/>
    <w:rsid w:val="0052362C"/>
    <w:rsid w:val="00524FC6"/>
    <w:rsid w:val="005313A0"/>
    <w:rsid w:val="00537990"/>
    <w:rsid w:val="005428F8"/>
    <w:rsid w:val="0055086F"/>
    <w:rsid w:val="005739BC"/>
    <w:rsid w:val="00582B48"/>
    <w:rsid w:val="005B4E5B"/>
    <w:rsid w:val="005C743B"/>
    <w:rsid w:val="005D132F"/>
    <w:rsid w:val="005E669D"/>
    <w:rsid w:val="00617B75"/>
    <w:rsid w:val="00626286"/>
    <w:rsid w:val="006268DC"/>
    <w:rsid w:val="0064625E"/>
    <w:rsid w:val="006465EE"/>
    <w:rsid w:val="0065428B"/>
    <w:rsid w:val="006562ED"/>
    <w:rsid w:val="00664B26"/>
    <w:rsid w:val="00676B1C"/>
    <w:rsid w:val="006838E8"/>
    <w:rsid w:val="00692166"/>
    <w:rsid w:val="006A3EAD"/>
    <w:rsid w:val="006D32A9"/>
    <w:rsid w:val="006E0896"/>
    <w:rsid w:val="00704041"/>
    <w:rsid w:val="007053CB"/>
    <w:rsid w:val="00722D65"/>
    <w:rsid w:val="00747112"/>
    <w:rsid w:val="00765973"/>
    <w:rsid w:val="00767CC8"/>
    <w:rsid w:val="00767E67"/>
    <w:rsid w:val="00774A63"/>
    <w:rsid w:val="00797EBD"/>
    <w:rsid w:val="007B43A5"/>
    <w:rsid w:val="007C2A94"/>
    <w:rsid w:val="007E1FCD"/>
    <w:rsid w:val="007F5E81"/>
    <w:rsid w:val="007F615C"/>
    <w:rsid w:val="0082634D"/>
    <w:rsid w:val="0084552B"/>
    <w:rsid w:val="0085359A"/>
    <w:rsid w:val="008755AE"/>
    <w:rsid w:val="00877787"/>
    <w:rsid w:val="00881DE5"/>
    <w:rsid w:val="0089323C"/>
    <w:rsid w:val="00893296"/>
    <w:rsid w:val="008A4672"/>
    <w:rsid w:val="008B7120"/>
    <w:rsid w:val="008E6312"/>
    <w:rsid w:val="008F04A0"/>
    <w:rsid w:val="00902F45"/>
    <w:rsid w:val="009078C4"/>
    <w:rsid w:val="0091729E"/>
    <w:rsid w:val="009229BB"/>
    <w:rsid w:val="009278BF"/>
    <w:rsid w:val="009327CC"/>
    <w:rsid w:val="00932F84"/>
    <w:rsid w:val="00935EA4"/>
    <w:rsid w:val="0095094A"/>
    <w:rsid w:val="00956923"/>
    <w:rsid w:val="00965D36"/>
    <w:rsid w:val="00977034"/>
    <w:rsid w:val="00980AF4"/>
    <w:rsid w:val="009918D6"/>
    <w:rsid w:val="009C6AF6"/>
    <w:rsid w:val="009D1440"/>
    <w:rsid w:val="009E0556"/>
    <w:rsid w:val="009E50EF"/>
    <w:rsid w:val="009F49D2"/>
    <w:rsid w:val="00A21A70"/>
    <w:rsid w:val="00A506D4"/>
    <w:rsid w:val="00A50C7D"/>
    <w:rsid w:val="00A86ED9"/>
    <w:rsid w:val="00AE5B5D"/>
    <w:rsid w:val="00AE641A"/>
    <w:rsid w:val="00AF4A9F"/>
    <w:rsid w:val="00B05447"/>
    <w:rsid w:val="00B34FAC"/>
    <w:rsid w:val="00B4374C"/>
    <w:rsid w:val="00B44334"/>
    <w:rsid w:val="00B45CEC"/>
    <w:rsid w:val="00B6674B"/>
    <w:rsid w:val="00B939D1"/>
    <w:rsid w:val="00BA26C4"/>
    <w:rsid w:val="00BA5C0D"/>
    <w:rsid w:val="00BB6FAA"/>
    <w:rsid w:val="00BF161E"/>
    <w:rsid w:val="00BF4251"/>
    <w:rsid w:val="00C10599"/>
    <w:rsid w:val="00C232AD"/>
    <w:rsid w:val="00C36D13"/>
    <w:rsid w:val="00C42DDF"/>
    <w:rsid w:val="00C519DF"/>
    <w:rsid w:val="00C95F6C"/>
    <w:rsid w:val="00D03F2A"/>
    <w:rsid w:val="00D04295"/>
    <w:rsid w:val="00D0621F"/>
    <w:rsid w:val="00D607F7"/>
    <w:rsid w:val="00D61959"/>
    <w:rsid w:val="00D70AC4"/>
    <w:rsid w:val="00D75298"/>
    <w:rsid w:val="00D84B7F"/>
    <w:rsid w:val="00DB4D5A"/>
    <w:rsid w:val="00DD3F3F"/>
    <w:rsid w:val="00DE31D6"/>
    <w:rsid w:val="00DF0F54"/>
    <w:rsid w:val="00DF6890"/>
    <w:rsid w:val="00E02A3F"/>
    <w:rsid w:val="00E03BFA"/>
    <w:rsid w:val="00E04794"/>
    <w:rsid w:val="00E056B9"/>
    <w:rsid w:val="00E378BC"/>
    <w:rsid w:val="00E464BD"/>
    <w:rsid w:val="00E54EBE"/>
    <w:rsid w:val="00E617D4"/>
    <w:rsid w:val="00E740CE"/>
    <w:rsid w:val="00E81BB4"/>
    <w:rsid w:val="00E96E15"/>
    <w:rsid w:val="00EA168D"/>
    <w:rsid w:val="00EA1CC9"/>
    <w:rsid w:val="00EA42FC"/>
    <w:rsid w:val="00EA685F"/>
    <w:rsid w:val="00EB165C"/>
    <w:rsid w:val="00EB34C6"/>
    <w:rsid w:val="00F0106D"/>
    <w:rsid w:val="00F16397"/>
    <w:rsid w:val="00F17492"/>
    <w:rsid w:val="00F22820"/>
    <w:rsid w:val="00F37214"/>
    <w:rsid w:val="00F37B18"/>
    <w:rsid w:val="00F47C8F"/>
    <w:rsid w:val="00F67F69"/>
    <w:rsid w:val="00F70B0B"/>
    <w:rsid w:val="00F721FB"/>
    <w:rsid w:val="00F80666"/>
    <w:rsid w:val="00F849F1"/>
    <w:rsid w:val="00F8616B"/>
    <w:rsid w:val="00FA21BF"/>
    <w:rsid w:val="00FB5734"/>
    <w:rsid w:val="00FC0947"/>
    <w:rsid w:val="00FC20A8"/>
    <w:rsid w:val="00FD5BD1"/>
    <w:rsid w:val="00FD7515"/>
    <w:rsid w:val="00FE41D4"/>
    <w:rsid w:val="00FF2E62"/>
    <w:rsid w:val="00FF3CA3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13E381"/>
  <w15:docId w15:val="{ECCFD1FB-9379-4846-ACC5-A461DFFA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4794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E6312"/>
    <w:p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455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552B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NormalWeb">
    <w:name w:val="Normal (Web)"/>
    <w:basedOn w:val="Normal"/>
    <w:link w:val="NormalWebChar"/>
    <w:rsid w:val="0084552B"/>
    <w:pPr>
      <w:spacing w:before="100" w:beforeAutospacing="1" w:after="100" w:afterAutospacing="1"/>
    </w:pPr>
    <w:rPr>
      <w:rFonts w:ascii="Verdana" w:hAnsi="Verdana"/>
      <w:color w:val="444444"/>
      <w:sz w:val="15"/>
      <w:szCs w:val="15"/>
    </w:rPr>
  </w:style>
  <w:style w:type="character" w:customStyle="1" w:styleId="NormalWebChar">
    <w:name w:val="Normal (Web) Char"/>
    <w:link w:val="NormalWeb"/>
    <w:rsid w:val="0084552B"/>
    <w:rPr>
      <w:rFonts w:ascii="Verdana" w:hAnsi="Verdana"/>
      <w:color w:val="444444"/>
      <w:sz w:val="15"/>
      <w:szCs w:val="15"/>
      <w:lang w:val="en-US" w:eastAsia="en-US" w:bidi="ar-SA"/>
    </w:rPr>
  </w:style>
  <w:style w:type="table" w:styleId="TableGrid">
    <w:name w:val="Table Grid"/>
    <w:basedOn w:val="TableNormal"/>
    <w:rsid w:val="0040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B57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464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64B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464BD"/>
  </w:style>
  <w:style w:type="paragraph" w:styleId="BalloonText">
    <w:name w:val="Balloon Text"/>
    <w:basedOn w:val="Normal"/>
    <w:link w:val="BalloonTextChar"/>
    <w:rsid w:val="00F67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7F69"/>
    <w:rPr>
      <w:rFonts w:ascii="Tahoma" w:hAnsi="Tahoma" w:cs="Tahoma"/>
      <w:sz w:val="16"/>
      <w:szCs w:val="16"/>
    </w:rPr>
  </w:style>
  <w:style w:type="character" w:styleId="Hyperlink">
    <w:name w:val="Hyperlink"/>
    <w:rsid w:val="006838E8"/>
    <w:rPr>
      <w:color w:val="0000FF"/>
      <w:u w:val="single"/>
    </w:rPr>
  </w:style>
  <w:style w:type="character" w:styleId="FollowedHyperlink">
    <w:name w:val="FollowedHyperlink"/>
    <w:rsid w:val="00DF0F5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F5C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04794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E6312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5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8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1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60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45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84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15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04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583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63882E-28F5-47F1-92E7-2DB8371A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3249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the FPM Review Process</vt:lpstr>
    </vt:vector>
  </TitlesOfParts>
  <Company>Commonwealth of Virginia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the FPM Review Process</dc:title>
  <dc:creator>Virginia Dept. of Education</dc:creator>
  <cp:lastModifiedBy>Spencer, Joy (DOE)</cp:lastModifiedBy>
  <cp:revision>2</cp:revision>
  <cp:lastPrinted>2018-07-17T16:28:00Z</cp:lastPrinted>
  <dcterms:created xsi:type="dcterms:W3CDTF">2024-08-22T13:44:00Z</dcterms:created>
  <dcterms:modified xsi:type="dcterms:W3CDTF">2024-08-22T13:44:00Z</dcterms:modified>
</cp:coreProperties>
</file>