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F6" w:rsidRPr="00277E96" w:rsidRDefault="00321231" w:rsidP="00BA6A13">
      <w:pPr>
        <w:pStyle w:val="Title"/>
        <w:jc w:val="center"/>
        <w:rPr>
          <w:strike/>
        </w:rPr>
      </w:pPr>
      <w:r>
        <w:t>Fundraisers</w:t>
      </w:r>
      <w:r w:rsidR="006438DA">
        <w:t xml:space="preserve"> 101</w:t>
      </w:r>
      <w:r>
        <w:t xml:space="preserve"> </w:t>
      </w:r>
      <w:r w:rsidR="00280355">
        <w:t>and Smart Snacks</w:t>
      </w:r>
    </w:p>
    <w:p w:rsidR="007409BB" w:rsidRDefault="007409BB" w:rsidP="00BA6A13">
      <w:pPr>
        <w:rPr>
          <w:rFonts w:ascii="Times New Roman" w:eastAsia="Times New Roman" w:hAnsi="Times New Roman"/>
          <w:color w:val="333333"/>
          <w:sz w:val="24"/>
          <w:szCs w:val="24"/>
        </w:rPr>
      </w:pPr>
    </w:p>
    <w:p w:rsidR="00CF7213" w:rsidRDefault="00122DB2" w:rsidP="00BA6A13">
      <w:pPr>
        <w:rPr>
          <w:rFonts w:ascii="Times New Roman" w:hAnsi="Times New Roman"/>
          <w:sz w:val="24"/>
          <w:szCs w:val="24"/>
        </w:rPr>
      </w:pPr>
      <w:r w:rsidRPr="004F1005">
        <w:rPr>
          <w:rFonts w:ascii="Times New Roman" w:eastAsia="Times New Roman" w:hAnsi="Times New Roman"/>
          <w:sz w:val="24"/>
          <w:szCs w:val="24"/>
        </w:rPr>
        <w:t>“</w:t>
      </w:r>
      <w:r w:rsidR="00F523B7" w:rsidRPr="004F1005">
        <w:rPr>
          <w:rFonts w:ascii="Times New Roman" w:eastAsia="Times New Roman" w:hAnsi="Times New Roman"/>
          <w:sz w:val="24"/>
          <w:szCs w:val="24"/>
        </w:rPr>
        <w:t xml:space="preserve">Fundraiser" means a school-sponsored activity where food or nonfood items are sold on the school campus during regular school hours by the school-sponsored organization to raise money for a school-related program or activity.  </w:t>
      </w:r>
      <w:r w:rsidR="00BA6A13" w:rsidRPr="004323DD">
        <w:rPr>
          <w:rFonts w:ascii="Times New Roman" w:hAnsi="Times New Roman"/>
          <w:sz w:val="24"/>
          <w:szCs w:val="24"/>
        </w:rPr>
        <w:t xml:space="preserve">Planning a fundraiser can be challenging, especially when </w:t>
      </w:r>
      <w:r w:rsidR="00DB0726" w:rsidRPr="004323DD">
        <w:rPr>
          <w:rFonts w:ascii="Times New Roman" w:hAnsi="Times New Roman"/>
          <w:sz w:val="24"/>
          <w:szCs w:val="24"/>
        </w:rPr>
        <w:t>you are</w:t>
      </w:r>
      <w:r w:rsidR="00277E96" w:rsidRPr="004323DD">
        <w:rPr>
          <w:rFonts w:ascii="Times New Roman" w:hAnsi="Times New Roman"/>
          <w:sz w:val="24"/>
          <w:szCs w:val="24"/>
        </w:rPr>
        <w:t xml:space="preserve"> </w:t>
      </w:r>
      <w:r w:rsidR="00DB0726" w:rsidRPr="004323DD">
        <w:rPr>
          <w:rFonts w:ascii="Times New Roman" w:hAnsi="Times New Roman"/>
          <w:color w:val="000000" w:themeColor="text1"/>
          <w:sz w:val="24"/>
          <w:szCs w:val="24"/>
        </w:rPr>
        <w:t>n</w:t>
      </w:r>
      <w:r w:rsidR="00277E96" w:rsidRPr="004323DD">
        <w:rPr>
          <w:rFonts w:ascii="Times New Roman" w:hAnsi="Times New Roman"/>
          <w:color w:val="000000" w:themeColor="text1"/>
          <w:sz w:val="24"/>
          <w:szCs w:val="24"/>
        </w:rPr>
        <w:t>o</w:t>
      </w:r>
      <w:r w:rsidR="00DB0726" w:rsidRPr="004323DD">
        <w:rPr>
          <w:rFonts w:ascii="Times New Roman" w:hAnsi="Times New Roman"/>
          <w:color w:val="000000" w:themeColor="text1"/>
          <w:sz w:val="24"/>
          <w:szCs w:val="24"/>
        </w:rPr>
        <w:t xml:space="preserve">t </w:t>
      </w:r>
      <w:r w:rsidR="00DB0726" w:rsidRPr="004323DD">
        <w:rPr>
          <w:rFonts w:ascii="Times New Roman" w:hAnsi="Times New Roman"/>
          <w:sz w:val="24"/>
          <w:szCs w:val="24"/>
        </w:rPr>
        <w:t>sure which school policies exist around fundraisers. School Nutrition</w:t>
      </w:r>
      <w:r w:rsidR="00DB0726" w:rsidRPr="00F523B7">
        <w:rPr>
          <w:rFonts w:ascii="Times New Roman" w:hAnsi="Times New Roman"/>
          <w:sz w:val="24"/>
          <w:szCs w:val="24"/>
        </w:rPr>
        <w:t xml:space="preserve"> Programs are overseen by the U.S. Department of Agriculture. This organization creates nutrition guidelines for schools to follow during school hours. With child obesity on the rise, schools are incorporating more nutritious foods at school to promote healthy eating habits. Research has shown that when students eat healthy, balanced meals at school they are</w:t>
      </w:r>
      <w:r w:rsidR="00DB0726" w:rsidRPr="00064BEB">
        <w:rPr>
          <w:rFonts w:ascii="Times New Roman" w:hAnsi="Times New Roman"/>
          <w:color w:val="000000" w:themeColor="text1"/>
          <w:sz w:val="24"/>
          <w:szCs w:val="24"/>
        </w:rPr>
        <w:t xml:space="preserve"> </w:t>
      </w:r>
      <w:r w:rsidR="00277E96" w:rsidRPr="00064BEB">
        <w:rPr>
          <w:rFonts w:ascii="Times New Roman" w:hAnsi="Times New Roman"/>
          <w:color w:val="000000" w:themeColor="text1"/>
          <w:sz w:val="24"/>
          <w:szCs w:val="24"/>
        </w:rPr>
        <w:t>more</w:t>
      </w:r>
      <w:r w:rsidR="00277E96" w:rsidRPr="00064BEB">
        <w:rPr>
          <w:rFonts w:ascii="Times New Roman" w:hAnsi="Times New Roman"/>
          <w:strike/>
          <w:color w:val="000000" w:themeColor="text1"/>
          <w:sz w:val="24"/>
          <w:szCs w:val="24"/>
        </w:rPr>
        <w:t xml:space="preserve"> </w:t>
      </w:r>
      <w:r w:rsidR="00DB0726" w:rsidRPr="00F523B7">
        <w:rPr>
          <w:rFonts w:ascii="Times New Roman" w:hAnsi="Times New Roman"/>
          <w:sz w:val="24"/>
          <w:szCs w:val="24"/>
        </w:rPr>
        <w:t xml:space="preserve">likely to have better grades, focus more in schools and have a decreased risk of developing chronic diseases. </w:t>
      </w:r>
      <w:r w:rsidR="00277E96" w:rsidRPr="00064BEB">
        <w:rPr>
          <w:rFonts w:ascii="Times New Roman" w:hAnsi="Times New Roman"/>
          <w:color w:val="000000" w:themeColor="text1"/>
          <w:sz w:val="24"/>
          <w:szCs w:val="24"/>
        </w:rPr>
        <w:t>Federal and state</w:t>
      </w:r>
      <w:r w:rsidR="00DB0726" w:rsidRPr="00064BEB">
        <w:rPr>
          <w:rFonts w:ascii="Times New Roman" w:hAnsi="Times New Roman"/>
          <w:color w:val="000000" w:themeColor="text1"/>
          <w:sz w:val="24"/>
          <w:szCs w:val="24"/>
        </w:rPr>
        <w:t xml:space="preserve"> </w:t>
      </w:r>
      <w:r w:rsidR="00DB0726" w:rsidRPr="00F523B7">
        <w:rPr>
          <w:rFonts w:ascii="Times New Roman" w:hAnsi="Times New Roman"/>
          <w:sz w:val="24"/>
          <w:szCs w:val="24"/>
        </w:rPr>
        <w:t>policies are requiring that any school-sponsored fundraiser in which food or beverages are sold to students shall follow the Smart Snacks in School guidelines.</w:t>
      </w:r>
    </w:p>
    <w:p w:rsidR="00CC0881" w:rsidRDefault="00F523B7" w:rsidP="00CC0881">
      <w:pPr>
        <w:spacing w:after="150" w:line="240" w:lineRule="auto"/>
        <w:jc w:val="center"/>
        <w:rPr>
          <w:rFonts w:ascii="Helvetica" w:eastAsia="Times New Roman" w:hAnsi="Helvetica" w:cs="Helvetica"/>
          <w:b/>
          <w:bCs/>
          <w:color w:val="333333"/>
          <w:sz w:val="21"/>
          <w:szCs w:val="21"/>
        </w:rPr>
      </w:pPr>
      <w:r w:rsidRPr="00F523B7">
        <w:rPr>
          <w:rFonts w:ascii="Helvetica" w:eastAsia="Times New Roman" w:hAnsi="Helvetica" w:cs="Helvetica"/>
          <w:b/>
          <w:bCs/>
          <w:color w:val="333333"/>
          <w:sz w:val="21"/>
          <w:szCs w:val="21"/>
        </w:rPr>
        <w:t>Exemption</w:t>
      </w:r>
      <w:r w:rsidR="007409BB">
        <w:rPr>
          <w:rFonts w:ascii="Helvetica" w:eastAsia="Times New Roman" w:hAnsi="Helvetica" w:cs="Helvetica"/>
          <w:b/>
          <w:bCs/>
          <w:color w:val="333333"/>
          <w:sz w:val="21"/>
          <w:szCs w:val="21"/>
        </w:rPr>
        <w:t>s</w:t>
      </w:r>
      <w:r w:rsidRPr="00F523B7">
        <w:rPr>
          <w:rFonts w:ascii="Helvetica" w:eastAsia="Times New Roman" w:hAnsi="Helvetica" w:cs="Helvetica"/>
          <w:b/>
          <w:bCs/>
          <w:color w:val="333333"/>
          <w:sz w:val="21"/>
          <w:szCs w:val="21"/>
        </w:rPr>
        <w:t xml:space="preserve"> to the nutrition standards for school-sponsored fundraisers</w:t>
      </w:r>
      <w:r w:rsidR="00424A55">
        <w:rPr>
          <w:rFonts w:ascii="Helvetica" w:eastAsia="Times New Roman" w:hAnsi="Helvetica" w:cs="Helvetica"/>
          <w:b/>
          <w:bCs/>
          <w:color w:val="333333"/>
          <w:sz w:val="21"/>
          <w:szCs w:val="21"/>
        </w:rPr>
        <w:t xml:space="preserve"> </w:t>
      </w:r>
    </w:p>
    <w:p w:rsidR="00F523B7" w:rsidRPr="00CC0881" w:rsidRDefault="00CC0881" w:rsidP="00CC0881">
      <w:pPr>
        <w:spacing w:after="150" w:line="240" w:lineRule="auto"/>
        <w:jc w:val="center"/>
        <w:rPr>
          <w:rFonts w:ascii="Helvetica" w:eastAsia="Times New Roman" w:hAnsi="Helvetica" w:cs="Helvetica"/>
          <w:bCs/>
          <w:color w:val="333333"/>
          <w:sz w:val="20"/>
          <w:szCs w:val="20"/>
        </w:rPr>
      </w:pPr>
      <w:r w:rsidRPr="00CC0881">
        <w:rPr>
          <w:rFonts w:ascii="Times New Roman" w:hAnsi="Times New Roman"/>
          <w:i/>
          <w:iCs/>
          <w:sz w:val="24"/>
          <w:szCs w:val="24"/>
        </w:rPr>
        <w:t xml:space="preserve">Virginia Administrative Code </w:t>
      </w:r>
      <w:r w:rsidR="00424A55" w:rsidRPr="00CC0881">
        <w:rPr>
          <w:rFonts w:ascii="Helvetica" w:eastAsia="Times New Roman" w:hAnsi="Helvetica" w:cs="Helvetica"/>
          <w:bCs/>
          <w:i/>
          <w:color w:val="333333"/>
          <w:sz w:val="18"/>
          <w:szCs w:val="18"/>
        </w:rPr>
        <w:t>8VAC20-740-35</w:t>
      </w:r>
    </w:p>
    <w:p w:rsidR="00F523B7" w:rsidRPr="00CC0881" w:rsidRDefault="00F523B7" w:rsidP="00064BEB">
      <w:pPr>
        <w:pStyle w:val="ListParagraph"/>
        <w:numPr>
          <w:ilvl w:val="0"/>
          <w:numId w:val="10"/>
        </w:numPr>
        <w:spacing w:before="100" w:beforeAutospacing="1" w:after="150"/>
        <w:rPr>
          <w:rFonts w:ascii="Times New Roman" w:eastAsia="Times New Roman" w:hAnsi="Times New Roman"/>
          <w:color w:val="333333"/>
          <w:sz w:val="18"/>
          <w:szCs w:val="18"/>
        </w:rPr>
      </w:pPr>
      <w:r w:rsidRPr="00064BEB">
        <w:rPr>
          <w:rFonts w:ascii="Times New Roman" w:eastAsia="Times New Roman" w:hAnsi="Times New Roman"/>
          <w:color w:val="333333"/>
          <w:sz w:val="24"/>
          <w:szCs w:val="24"/>
        </w:rPr>
        <w:t>Each public school shall be permitted to conduct, on the school campus during regular school hours, no more than 30 school-sponsored fundraisers per school year</w:t>
      </w:r>
      <w:r w:rsidR="00064BEB" w:rsidRPr="00064BEB">
        <w:rPr>
          <w:rFonts w:ascii="Times New Roman" w:eastAsia="Times New Roman" w:hAnsi="Times New Roman"/>
          <w:color w:val="333333"/>
          <w:sz w:val="24"/>
          <w:szCs w:val="24"/>
        </w:rPr>
        <w:t>,</w:t>
      </w:r>
      <w:r w:rsidRPr="00064BEB">
        <w:rPr>
          <w:rFonts w:ascii="Times New Roman" w:eastAsia="Times New Roman" w:hAnsi="Times New Roman"/>
          <w:color w:val="333333"/>
          <w:sz w:val="24"/>
          <w:szCs w:val="24"/>
        </w:rPr>
        <w:t xml:space="preserve"> during which food or beverages that do not meet the nutrition standards </w:t>
      </w:r>
      <w:r w:rsidR="00BD0FD1" w:rsidRPr="00064BEB">
        <w:rPr>
          <w:rFonts w:ascii="Times New Roman" w:eastAsia="Times New Roman" w:hAnsi="Times New Roman"/>
          <w:color w:val="333333"/>
          <w:sz w:val="24"/>
          <w:szCs w:val="24"/>
        </w:rPr>
        <w:t>established by</w:t>
      </w:r>
      <w:r w:rsidRPr="00064BEB">
        <w:rPr>
          <w:rFonts w:ascii="Times New Roman" w:eastAsia="Times New Roman" w:hAnsi="Times New Roman"/>
          <w:color w:val="333333"/>
          <w:sz w:val="24"/>
          <w:szCs w:val="24"/>
        </w:rPr>
        <w:t xml:space="preserve"> the</w:t>
      </w:r>
      <w:r w:rsidR="00BD0FD1" w:rsidRPr="00064BEB">
        <w:rPr>
          <w:rFonts w:ascii="Times New Roman" w:eastAsia="Times New Roman" w:hAnsi="Times New Roman"/>
          <w:color w:val="333333"/>
          <w:sz w:val="24"/>
          <w:szCs w:val="24"/>
        </w:rPr>
        <w:t xml:space="preserve"> U.S. Department of Agricult</w:t>
      </w:r>
      <w:r w:rsidR="00064BEB" w:rsidRPr="00064BEB">
        <w:rPr>
          <w:rFonts w:ascii="Times New Roman" w:eastAsia="Times New Roman" w:hAnsi="Times New Roman"/>
          <w:color w:val="333333"/>
          <w:sz w:val="24"/>
          <w:szCs w:val="24"/>
        </w:rPr>
        <w:t>ure,</w:t>
      </w:r>
      <w:r w:rsidR="00435723">
        <w:rPr>
          <w:rFonts w:ascii="Times New Roman" w:eastAsia="Times New Roman" w:hAnsi="Times New Roman"/>
          <w:color w:val="333333"/>
          <w:sz w:val="24"/>
          <w:szCs w:val="24"/>
        </w:rPr>
        <w:t xml:space="preserve"> may be sold. </w:t>
      </w:r>
      <w:r w:rsidR="00CC0881">
        <w:rPr>
          <w:rFonts w:ascii="Times New Roman" w:eastAsia="Times New Roman" w:hAnsi="Times New Roman"/>
          <w:color w:val="333333"/>
          <w:sz w:val="24"/>
          <w:szCs w:val="24"/>
        </w:rPr>
        <w:t xml:space="preserve"> (</w:t>
      </w:r>
      <w:r w:rsidR="00CC0881" w:rsidRPr="00CC0881">
        <w:rPr>
          <w:rFonts w:ascii="Times New Roman" w:hAnsi="Times New Roman"/>
          <w:i/>
          <w:iCs/>
          <w:sz w:val="24"/>
          <w:szCs w:val="24"/>
        </w:rPr>
        <w:t>Virginia Administrative Code</w:t>
      </w:r>
      <w:r w:rsidR="00435723" w:rsidRPr="00CC0881">
        <w:rPr>
          <w:rFonts w:ascii="Times New Roman" w:eastAsia="Times New Roman" w:hAnsi="Times New Roman"/>
          <w:color w:val="333333"/>
          <w:sz w:val="24"/>
          <w:szCs w:val="24"/>
        </w:rPr>
        <w:t xml:space="preserve"> </w:t>
      </w:r>
      <w:r w:rsidR="00424A55" w:rsidRPr="00CC0881">
        <w:rPr>
          <w:rFonts w:ascii="Helvetica" w:eastAsia="Times New Roman" w:hAnsi="Helvetica" w:cs="Helvetica"/>
          <w:bCs/>
          <w:i/>
          <w:color w:val="333333"/>
          <w:sz w:val="18"/>
          <w:szCs w:val="18"/>
        </w:rPr>
        <w:t>8VAC20-740-40A</w:t>
      </w:r>
      <w:r w:rsidR="00CC0881" w:rsidRPr="00CC0881">
        <w:rPr>
          <w:rFonts w:ascii="Helvetica" w:eastAsia="Times New Roman" w:hAnsi="Helvetica" w:cs="Helvetica"/>
          <w:bCs/>
          <w:i/>
          <w:color w:val="333333"/>
          <w:sz w:val="18"/>
          <w:szCs w:val="18"/>
        </w:rPr>
        <w:t>)</w:t>
      </w:r>
    </w:p>
    <w:p w:rsidR="00064BEB" w:rsidRDefault="00F523B7" w:rsidP="006D05FF">
      <w:pPr>
        <w:pStyle w:val="ListParagraph"/>
        <w:numPr>
          <w:ilvl w:val="0"/>
          <w:numId w:val="10"/>
        </w:numPr>
        <w:spacing w:before="100" w:beforeAutospacing="1" w:after="150"/>
        <w:rPr>
          <w:rFonts w:ascii="Times New Roman" w:eastAsia="Times New Roman" w:hAnsi="Times New Roman"/>
          <w:color w:val="333333"/>
          <w:sz w:val="24"/>
          <w:szCs w:val="24"/>
        </w:rPr>
      </w:pPr>
      <w:r w:rsidRPr="00064BEB">
        <w:rPr>
          <w:rFonts w:ascii="Times New Roman" w:eastAsia="Times New Roman" w:hAnsi="Times New Roman"/>
          <w:color w:val="333333"/>
          <w:sz w:val="24"/>
          <w:szCs w:val="24"/>
        </w:rPr>
        <w:t xml:space="preserve">School divisions are not required to allow exemptions to the nutrition standards </w:t>
      </w:r>
      <w:r w:rsidR="00064BEB" w:rsidRPr="00064BEB">
        <w:rPr>
          <w:rFonts w:ascii="Times New Roman" w:eastAsia="Times New Roman" w:hAnsi="Times New Roman"/>
          <w:color w:val="333333"/>
          <w:sz w:val="24"/>
          <w:szCs w:val="24"/>
        </w:rPr>
        <w:t xml:space="preserve">for </w:t>
      </w:r>
      <w:r w:rsidRPr="00064BEB">
        <w:rPr>
          <w:rFonts w:ascii="Times New Roman" w:eastAsia="Times New Roman" w:hAnsi="Times New Roman"/>
          <w:color w:val="333333"/>
          <w:sz w:val="24"/>
          <w:szCs w:val="24"/>
        </w:rPr>
        <w:t>school-sponsored fundraisers and may implement more restrictive guidelines as part of the local wellness policy requirements.</w:t>
      </w:r>
    </w:p>
    <w:p w:rsidR="00F523B7" w:rsidRDefault="00F523B7" w:rsidP="006D05FF">
      <w:pPr>
        <w:pStyle w:val="ListParagraph"/>
        <w:numPr>
          <w:ilvl w:val="0"/>
          <w:numId w:val="10"/>
        </w:numPr>
        <w:spacing w:before="100" w:beforeAutospacing="1" w:after="150"/>
        <w:rPr>
          <w:rFonts w:ascii="Times New Roman" w:eastAsia="Times New Roman" w:hAnsi="Times New Roman"/>
          <w:color w:val="333333"/>
          <w:sz w:val="24"/>
          <w:szCs w:val="24"/>
        </w:rPr>
      </w:pPr>
      <w:r w:rsidRPr="00064BEB">
        <w:rPr>
          <w:rFonts w:ascii="Times New Roman" w:eastAsia="Times New Roman" w:hAnsi="Times New Roman"/>
          <w:color w:val="333333"/>
          <w:sz w:val="24"/>
          <w:szCs w:val="24"/>
        </w:rPr>
        <w:t>One fundraiser is defined as one or more fundraising activities that last one school day. If multiple school-sponsored organizations conduct fundraisers on the same day, the combined activities shall be counted as one fundraiser. If a fundraising activity lasts more than one school day, each subsequent day's activity shall be considered as one fundraiser and shall count toward the 30 exempt fundraisers total per year.</w:t>
      </w:r>
    </w:p>
    <w:p w:rsidR="007409BB" w:rsidRPr="007409BB" w:rsidRDefault="00064BEB" w:rsidP="007409BB">
      <w:pPr>
        <w:pStyle w:val="ListParagraph"/>
        <w:numPr>
          <w:ilvl w:val="0"/>
          <w:numId w:val="10"/>
        </w:numPr>
        <w:spacing w:before="100" w:beforeAutospacing="1" w:after="150"/>
        <w:rPr>
          <w:rFonts w:ascii="Helvetica" w:eastAsia="Times New Roman" w:hAnsi="Helvetica" w:cs="Helvetica"/>
          <w:color w:val="333333"/>
          <w:sz w:val="21"/>
          <w:szCs w:val="21"/>
        </w:rPr>
      </w:pPr>
      <w:r w:rsidRPr="00064BEB">
        <w:rPr>
          <w:rFonts w:ascii="Times New Roman" w:eastAsia="Times New Roman" w:hAnsi="Times New Roman"/>
          <w:color w:val="333333"/>
          <w:sz w:val="24"/>
          <w:szCs w:val="24"/>
        </w:rPr>
        <w:t xml:space="preserve">Any fundraiser that </w:t>
      </w:r>
      <w:r w:rsidR="00F523B7" w:rsidRPr="00064BEB">
        <w:rPr>
          <w:rFonts w:ascii="Times New Roman" w:eastAsia="Times New Roman" w:hAnsi="Times New Roman"/>
          <w:color w:val="333333"/>
          <w:sz w:val="24"/>
          <w:szCs w:val="24"/>
        </w:rPr>
        <w:t xml:space="preserve">sells food or beverages, whether the items meet the nutrition standards or are exempt from the nutrition standards in this chapter, may not be conducted during school meal service times. </w:t>
      </w:r>
      <w:r w:rsidR="00424BA7" w:rsidRPr="00064BEB">
        <w:rPr>
          <w:rFonts w:ascii="Times New Roman" w:eastAsia="Times New Roman" w:hAnsi="Times New Roman"/>
          <w:color w:val="333333"/>
          <w:sz w:val="24"/>
          <w:szCs w:val="24"/>
        </w:rPr>
        <w:tab/>
        <w:t xml:space="preserve"> A</w:t>
      </w:r>
      <w:r w:rsidR="00F523B7" w:rsidRPr="00064BEB">
        <w:rPr>
          <w:rFonts w:ascii="Times New Roman" w:eastAsia="Times New Roman" w:hAnsi="Times New Roman"/>
          <w:color w:val="333333"/>
          <w:sz w:val="24"/>
          <w:szCs w:val="24"/>
        </w:rPr>
        <w:t>ny food or beverage item cannot be sold in competition with the National School Lunch Program and School Breakfast Program from 6 a.m. until after the close of the last breakfast period and from the beginning of the first lunch period to the end of the last lunch period.</w:t>
      </w:r>
      <w:r w:rsidR="00424BA7" w:rsidRPr="00064BEB">
        <w:rPr>
          <w:rFonts w:ascii="Times New Roman" w:eastAsia="Times New Roman" w:hAnsi="Times New Roman"/>
          <w:color w:val="333333"/>
          <w:sz w:val="24"/>
          <w:szCs w:val="24"/>
        </w:rPr>
        <w:t xml:space="preserve">  Foo</w:t>
      </w:r>
      <w:r w:rsidR="00F523B7" w:rsidRPr="00064BEB">
        <w:rPr>
          <w:rFonts w:ascii="Times New Roman" w:eastAsia="Times New Roman" w:hAnsi="Times New Roman"/>
          <w:color w:val="333333"/>
          <w:sz w:val="24"/>
          <w:szCs w:val="24"/>
        </w:rPr>
        <w:t xml:space="preserve">d or beverage sold to students during these times shall accrue to the nonprofit School Nutrition Program account. </w:t>
      </w:r>
    </w:p>
    <w:p w:rsidR="007409BB" w:rsidRPr="00435723" w:rsidRDefault="007409BB" w:rsidP="007409BB">
      <w:pPr>
        <w:pStyle w:val="ListParagraph"/>
        <w:numPr>
          <w:ilvl w:val="0"/>
          <w:numId w:val="10"/>
        </w:numPr>
        <w:spacing w:before="100" w:beforeAutospacing="1" w:after="150"/>
        <w:rPr>
          <w:rFonts w:ascii="Helvetica" w:eastAsia="Times New Roman" w:hAnsi="Helvetica" w:cs="Helvetica"/>
          <w:color w:val="333333"/>
          <w:sz w:val="21"/>
          <w:szCs w:val="21"/>
        </w:rPr>
      </w:pPr>
      <w:r w:rsidRPr="00435723">
        <w:rPr>
          <w:rFonts w:ascii="Times New Roman" w:eastAsia="Times New Roman" w:hAnsi="Times New Roman"/>
          <w:color w:val="333333"/>
          <w:sz w:val="24"/>
          <w:szCs w:val="24"/>
        </w:rPr>
        <w:lastRenderedPageBreak/>
        <w:t>Local educational agencies and school food authorities must retain records to document compliance of their fundraisers for each school year.</w:t>
      </w:r>
      <w:r>
        <w:rPr>
          <w:rFonts w:ascii="Times New Roman" w:eastAsia="Times New Roman" w:hAnsi="Times New Roman"/>
          <w:color w:val="333333"/>
          <w:sz w:val="24"/>
          <w:szCs w:val="24"/>
        </w:rPr>
        <w:t xml:space="preserve">  The attached Tracking Record is provided for documentation of the fundraisers.</w:t>
      </w:r>
    </w:p>
    <w:p w:rsidR="00F523B7" w:rsidRDefault="00F523B7" w:rsidP="00435723">
      <w:pPr>
        <w:pStyle w:val="ListParagraph"/>
        <w:numPr>
          <w:ilvl w:val="0"/>
          <w:numId w:val="10"/>
        </w:numPr>
        <w:spacing w:before="100" w:beforeAutospacing="1" w:after="150"/>
        <w:rPr>
          <w:rFonts w:ascii="Times New Roman" w:eastAsia="Times New Roman" w:hAnsi="Times New Roman"/>
          <w:color w:val="333333"/>
          <w:sz w:val="24"/>
          <w:szCs w:val="24"/>
        </w:rPr>
      </w:pPr>
      <w:r w:rsidRPr="00435723">
        <w:rPr>
          <w:rFonts w:ascii="Times New Roman" w:eastAsia="Times New Roman" w:hAnsi="Times New Roman"/>
          <w:color w:val="333333"/>
          <w:sz w:val="24"/>
          <w:szCs w:val="24"/>
        </w:rPr>
        <w:t xml:space="preserve">An exemption is not required for nonfood fundraisers or for fundraisers that sell food or beverage items that meet the </w:t>
      </w:r>
      <w:r w:rsidR="00435723" w:rsidRPr="00435723">
        <w:rPr>
          <w:rFonts w:ascii="Times New Roman" w:eastAsia="Times New Roman" w:hAnsi="Times New Roman"/>
          <w:color w:val="333333"/>
          <w:sz w:val="24"/>
          <w:szCs w:val="24"/>
        </w:rPr>
        <w:t xml:space="preserve">nutrition </w:t>
      </w:r>
      <w:r w:rsidR="00435723">
        <w:rPr>
          <w:rFonts w:ascii="Times New Roman" w:eastAsia="Times New Roman" w:hAnsi="Times New Roman"/>
          <w:color w:val="333333"/>
          <w:sz w:val="24"/>
          <w:szCs w:val="24"/>
        </w:rPr>
        <w:t>standards</w:t>
      </w:r>
      <w:r w:rsidRPr="00435723">
        <w:rPr>
          <w:rFonts w:ascii="Times New Roman" w:eastAsia="Times New Roman" w:hAnsi="Times New Roman"/>
          <w:color w:val="333333"/>
          <w:sz w:val="24"/>
          <w:szCs w:val="24"/>
        </w:rPr>
        <w:t xml:space="preserve"> in this chapter. </w:t>
      </w:r>
    </w:p>
    <w:p w:rsidR="004F1005" w:rsidRDefault="00BD0FD1" w:rsidP="004F1005">
      <w:pPr>
        <w:spacing w:before="100" w:beforeAutospacing="1" w:after="150"/>
        <w:rPr>
          <w:rFonts w:ascii="Times New Roman" w:hAnsi="Times New Roman"/>
          <w:b/>
          <w:sz w:val="24"/>
          <w:szCs w:val="24"/>
        </w:rPr>
      </w:pPr>
      <w:r w:rsidRPr="00435723">
        <w:rPr>
          <w:rFonts w:ascii="Times New Roman" w:eastAsia="Times New Roman" w:hAnsi="Times New Roman"/>
          <w:i/>
          <w:color w:val="333333"/>
          <w:sz w:val="24"/>
          <w:szCs w:val="24"/>
        </w:rPr>
        <w:t>School</w:t>
      </w:r>
      <w:r w:rsidR="004323DD">
        <w:rPr>
          <w:rFonts w:ascii="Times New Roman" w:eastAsia="Times New Roman" w:hAnsi="Times New Roman"/>
          <w:i/>
          <w:color w:val="333333"/>
          <w:sz w:val="24"/>
          <w:szCs w:val="24"/>
        </w:rPr>
        <w:t>s and school-sponsored organizations and activities</w:t>
      </w:r>
      <w:r w:rsidRPr="00435723">
        <w:rPr>
          <w:rFonts w:ascii="Times New Roman" w:eastAsia="Times New Roman" w:hAnsi="Times New Roman"/>
          <w:i/>
          <w:color w:val="333333"/>
          <w:sz w:val="24"/>
          <w:szCs w:val="24"/>
        </w:rPr>
        <w:t xml:space="preserve"> are encouraged to </w:t>
      </w:r>
      <w:r w:rsidR="004323DD">
        <w:rPr>
          <w:rFonts w:ascii="Times New Roman" w:eastAsia="Times New Roman" w:hAnsi="Times New Roman"/>
          <w:i/>
          <w:color w:val="333333"/>
          <w:sz w:val="24"/>
          <w:szCs w:val="24"/>
        </w:rPr>
        <w:t xml:space="preserve">consider non-food fundraisers first.  Non-food fundraisers, such as a 5K walk/run, dance marathon, or read-a-thon, can support healthy lifestyles and academics while generating higher profits for the organization.  If foods or beverages </w:t>
      </w:r>
      <w:proofErr w:type="gramStart"/>
      <w:r w:rsidR="004323DD">
        <w:rPr>
          <w:rFonts w:ascii="Times New Roman" w:eastAsia="Times New Roman" w:hAnsi="Times New Roman"/>
          <w:i/>
          <w:color w:val="333333"/>
          <w:sz w:val="24"/>
          <w:szCs w:val="24"/>
        </w:rPr>
        <w:t>are sold</w:t>
      </w:r>
      <w:proofErr w:type="gramEnd"/>
      <w:r w:rsidR="004323DD">
        <w:rPr>
          <w:rFonts w:ascii="Times New Roman" w:eastAsia="Times New Roman" w:hAnsi="Times New Roman"/>
          <w:i/>
          <w:color w:val="333333"/>
          <w:sz w:val="24"/>
          <w:szCs w:val="24"/>
        </w:rPr>
        <w:t xml:space="preserve"> as a fundraiser by any organization other than the school nutrition program, those items should adhere to the federal </w:t>
      </w:r>
      <w:r w:rsidRPr="00435723">
        <w:rPr>
          <w:rFonts w:ascii="Times New Roman" w:eastAsia="Times New Roman" w:hAnsi="Times New Roman"/>
          <w:i/>
          <w:color w:val="333333"/>
          <w:sz w:val="24"/>
          <w:szCs w:val="24"/>
        </w:rPr>
        <w:t xml:space="preserve">Smart Snacks in School </w:t>
      </w:r>
      <w:r w:rsidR="004323DD">
        <w:rPr>
          <w:rFonts w:ascii="Times New Roman" w:eastAsia="Times New Roman" w:hAnsi="Times New Roman"/>
          <w:i/>
          <w:color w:val="333333"/>
          <w:sz w:val="24"/>
          <w:szCs w:val="24"/>
        </w:rPr>
        <w:t>regulations and the state nutritional guidelines.</w:t>
      </w:r>
    </w:p>
    <w:p w:rsidR="002B7B29" w:rsidRPr="004F1005" w:rsidRDefault="002B7B29" w:rsidP="004F1005">
      <w:pPr>
        <w:spacing w:before="100" w:beforeAutospacing="1" w:after="150"/>
        <w:rPr>
          <w:rFonts w:ascii="Times New Roman" w:eastAsia="Times New Roman" w:hAnsi="Times New Roman"/>
          <w:i/>
          <w:color w:val="333333"/>
          <w:sz w:val="24"/>
          <w:szCs w:val="24"/>
        </w:rPr>
      </w:pPr>
      <w:r w:rsidRPr="00435723">
        <w:rPr>
          <w:rFonts w:ascii="Times New Roman" w:hAnsi="Times New Roman"/>
          <w:b/>
          <w:sz w:val="24"/>
          <w:szCs w:val="24"/>
        </w:rPr>
        <w:t xml:space="preserve">Listed below are the steps to take to find out if the food or beverage items are </w:t>
      </w:r>
      <w:r w:rsidR="004F1005">
        <w:rPr>
          <w:rFonts w:ascii="Times New Roman" w:hAnsi="Times New Roman"/>
          <w:b/>
          <w:sz w:val="24"/>
          <w:szCs w:val="24"/>
        </w:rPr>
        <w:t xml:space="preserve">Smart Snacks </w:t>
      </w:r>
      <w:r w:rsidRPr="00435723">
        <w:rPr>
          <w:rFonts w:ascii="Times New Roman" w:hAnsi="Times New Roman"/>
          <w:b/>
          <w:sz w:val="24"/>
          <w:szCs w:val="24"/>
        </w:rPr>
        <w:t>compliant.</w:t>
      </w:r>
    </w:p>
    <w:p w:rsidR="00321231" w:rsidRPr="00064BEB" w:rsidRDefault="00321231" w:rsidP="00321231">
      <w:pPr>
        <w:pStyle w:val="ListParagraph"/>
        <w:numPr>
          <w:ilvl w:val="0"/>
          <w:numId w:val="4"/>
        </w:numPr>
        <w:rPr>
          <w:rFonts w:ascii="Times New Roman" w:hAnsi="Times New Roman"/>
          <w:sz w:val="24"/>
          <w:szCs w:val="24"/>
        </w:rPr>
      </w:pPr>
      <w:r w:rsidRPr="00064BEB">
        <w:rPr>
          <w:rFonts w:ascii="Times New Roman" w:hAnsi="Times New Roman"/>
          <w:sz w:val="24"/>
          <w:szCs w:val="24"/>
        </w:rPr>
        <w:t>Gather all nutrition facts labels for the foods that are being considered.</w:t>
      </w:r>
    </w:p>
    <w:p w:rsidR="002B7B29" w:rsidRDefault="002B7B29" w:rsidP="00321231">
      <w:pPr>
        <w:pStyle w:val="ListParagraph"/>
        <w:numPr>
          <w:ilvl w:val="0"/>
          <w:numId w:val="4"/>
        </w:numPr>
        <w:rPr>
          <w:rFonts w:ascii="Times New Roman" w:hAnsi="Times New Roman"/>
          <w:sz w:val="24"/>
          <w:szCs w:val="24"/>
        </w:rPr>
      </w:pPr>
      <w:r w:rsidRPr="00064BEB">
        <w:rPr>
          <w:rFonts w:ascii="Times New Roman" w:hAnsi="Times New Roman"/>
          <w:sz w:val="24"/>
          <w:szCs w:val="24"/>
        </w:rPr>
        <w:t>Click on the link provided below to use the Smart Snacks Compliance Calculator</w:t>
      </w:r>
      <w:r w:rsidR="000A57A8">
        <w:rPr>
          <w:rFonts w:ascii="Times New Roman" w:hAnsi="Times New Roman"/>
          <w:sz w:val="24"/>
          <w:szCs w:val="24"/>
        </w:rPr>
        <w:t>.</w:t>
      </w:r>
    </w:p>
    <w:p w:rsidR="00A9785E" w:rsidRPr="00064BEB" w:rsidRDefault="004F1005" w:rsidP="00A9785E">
      <w:pPr>
        <w:pStyle w:val="ListParagraph"/>
        <w:ind w:left="1440"/>
        <w:rPr>
          <w:rFonts w:ascii="Times New Roman" w:hAnsi="Times New Roman"/>
          <w:sz w:val="24"/>
          <w:szCs w:val="24"/>
        </w:rPr>
      </w:pPr>
      <w:hyperlink r:id="rId6" w:history="1">
        <w:r w:rsidR="00A9785E" w:rsidRPr="00A9785E">
          <w:rPr>
            <w:rStyle w:val="Hyperlink"/>
            <w:rFonts w:ascii="Times New Roman" w:hAnsi="Times New Roman"/>
            <w:sz w:val="24"/>
            <w:szCs w:val="24"/>
          </w:rPr>
          <w:t>Smart Snacks in School Compliance Calcu</w:t>
        </w:r>
        <w:r w:rsidR="00A9785E" w:rsidRPr="00A9785E">
          <w:rPr>
            <w:rStyle w:val="Hyperlink"/>
            <w:rFonts w:ascii="Times New Roman" w:hAnsi="Times New Roman"/>
            <w:sz w:val="24"/>
            <w:szCs w:val="24"/>
          </w:rPr>
          <w:t>l</w:t>
        </w:r>
        <w:r w:rsidR="00A9785E" w:rsidRPr="00A9785E">
          <w:rPr>
            <w:rStyle w:val="Hyperlink"/>
            <w:rFonts w:ascii="Times New Roman" w:hAnsi="Times New Roman"/>
            <w:sz w:val="24"/>
            <w:szCs w:val="24"/>
          </w:rPr>
          <w:t>ator</w:t>
        </w:r>
      </w:hyperlink>
    </w:p>
    <w:p w:rsidR="00C42C33" w:rsidRPr="00064BEB" w:rsidRDefault="002B7B29" w:rsidP="00321231">
      <w:pPr>
        <w:pStyle w:val="ListParagraph"/>
        <w:numPr>
          <w:ilvl w:val="0"/>
          <w:numId w:val="4"/>
        </w:numPr>
        <w:rPr>
          <w:rFonts w:ascii="Times New Roman" w:hAnsi="Times New Roman"/>
          <w:sz w:val="24"/>
          <w:szCs w:val="24"/>
        </w:rPr>
      </w:pPr>
      <w:r w:rsidRPr="00064BEB">
        <w:rPr>
          <w:rFonts w:ascii="Times New Roman" w:hAnsi="Times New Roman"/>
          <w:i/>
          <w:sz w:val="24"/>
          <w:szCs w:val="24"/>
        </w:rPr>
        <w:t>Decide whether the food is a snack, entrée, side or beverage</w:t>
      </w:r>
      <w:r w:rsidR="00C42C33" w:rsidRPr="00064BEB">
        <w:rPr>
          <w:rFonts w:ascii="Times New Roman" w:hAnsi="Times New Roman"/>
          <w:sz w:val="24"/>
          <w:szCs w:val="24"/>
        </w:rPr>
        <w:t xml:space="preserve">. </w:t>
      </w:r>
    </w:p>
    <w:p w:rsidR="002B7B29" w:rsidRPr="00064BEB" w:rsidRDefault="00ED2022" w:rsidP="00C42C33">
      <w:pPr>
        <w:pStyle w:val="ListParagraph"/>
        <w:ind w:left="1440"/>
        <w:rPr>
          <w:rFonts w:ascii="Times New Roman" w:hAnsi="Times New Roman"/>
          <w:sz w:val="24"/>
          <w:szCs w:val="24"/>
        </w:rPr>
      </w:pPr>
      <w:r w:rsidRPr="00064BEB">
        <w:rPr>
          <w:rFonts w:ascii="Times New Roman" w:hAnsi="Times New Roman"/>
          <w:b/>
          <w:sz w:val="24"/>
          <w:szCs w:val="24"/>
        </w:rPr>
        <w:t>Tip:</w:t>
      </w:r>
      <w:r w:rsidRPr="00064BEB">
        <w:rPr>
          <w:rFonts w:ascii="Times New Roman" w:hAnsi="Times New Roman"/>
          <w:sz w:val="24"/>
          <w:szCs w:val="24"/>
        </w:rPr>
        <w:t xml:space="preserve"> When the calculator asks this first question about which category the product is, you can hover your mouse over the blue circle with the letter “I” to see what classifies as a snack, side, entrée or beverage.</w:t>
      </w:r>
    </w:p>
    <w:p w:rsidR="00ED2022" w:rsidRPr="00064BEB" w:rsidRDefault="00ED2022" w:rsidP="00ED2022">
      <w:pPr>
        <w:pStyle w:val="ListParagraph"/>
        <w:numPr>
          <w:ilvl w:val="1"/>
          <w:numId w:val="4"/>
        </w:numPr>
        <w:rPr>
          <w:rFonts w:ascii="Times New Roman" w:hAnsi="Times New Roman"/>
          <w:sz w:val="24"/>
          <w:szCs w:val="24"/>
        </w:rPr>
      </w:pPr>
      <w:r w:rsidRPr="00064BEB">
        <w:rPr>
          <w:rFonts w:ascii="Times New Roman" w:hAnsi="Times New Roman"/>
          <w:sz w:val="24"/>
          <w:szCs w:val="24"/>
        </w:rPr>
        <w:t>Entrée means 1) combination foods of meat or meat alternate and whole grain rich food, 2) combination food of vegetable/fruit and meat/meat alternate, or 3) meat alternate alone with the exception of yogurt, low-fat or reduced fat cheese, nuts, seeds, but butters and meat snacks (i.e. jerky)</w:t>
      </w:r>
    </w:p>
    <w:p w:rsidR="002B7B29" w:rsidRPr="00064BEB" w:rsidRDefault="002B7B29" w:rsidP="00321231">
      <w:pPr>
        <w:pStyle w:val="ListParagraph"/>
        <w:numPr>
          <w:ilvl w:val="0"/>
          <w:numId w:val="4"/>
        </w:numPr>
        <w:rPr>
          <w:rFonts w:ascii="Times New Roman" w:hAnsi="Times New Roman"/>
          <w:sz w:val="24"/>
          <w:szCs w:val="24"/>
        </w:rPr>
      </w:pPr>
      <w:r w:rsidRPr="00064BEB">
        <w:rPr>
          <w:rFonts w:ascii="Times New Roman" w:hAnsi="Times New Roman"/>
          <w:i/>
          <w:sz w:val="24"/>
          <w:szCs w:val="24"/>
        </w:rPr>
        <w:t>Decide what the first ingredient of the list is</w:t>
      </w:r>
      <w:r w:rsidR="00ED2022" w:rsidRPr="00064BEB">
        <w:rPr>
          <w:rFonts w:ascii="Times New Roman" w:hAnsi="Times New Roman"/>
          <w:i/>
          <w:sz w:val="24"/>
          <w:szCs w:val="24"/>
        </w:rPr>
        <w:t>.</w:t>
      </w:r>
      <w:r w:rsidR="00ED2022" w:rsidRPr="00064BEB">
        <w:rPr>
          <w:rFonts w:ascii="Times New Roman" w:hAnsi="Times New Roman"/>
          <w:sz w:val="24"/>
          <w:szCs w:val="24"/>
        </w:rPr>
        <w:t xml:space="preserve"> If water is the first ingredient, the second ingredient must be one of the food items listed in the previous section.</w:t>
      </w:r>
    </w:p>
    <w:p w:rsidR="00A24DA2" w:rsidRDefault="00ED2022" w:rsidP="00321231">
      <w:pPr>
        <w:pStyle w:val="ListParagraph"/>
        <w:numPr>
          <w:ilvl w:val="0"/>
          <w:numId w:val="4"/>
        </w:numPr>
        <w:rPr>
          <w:rFonts w:ascii="Times New Roman" w:hAnsi="Times New Roman"/>
          <w:sz w:val="24"/>
          <w:szCs w:val="24"/>
        </w:rPr>
      </w:pPr>
      <w:r w:rsidRPr="00064BEB">
        <w:rPr>
          <w:rFonts w:ascii="Times New Roman" w:hAnsi="Times New Roman"/>
          <w:i/>
          <w:sz w:val="24"/>
          <w:szCs w:val="24"/>
        </w:rPr>
        <w:t>Answer the questions in the calculator by looking at the food label</w:t>
      </w:r>
      <w:r w:rsidRPr="00064BEB">
        <w:rPr>
          <w:rFonts w:ascii="Times New Roman" w:hAnsi="Times New Roman"/>
          <w:sz w:val="24"/>
          <w:szCs w:val="24"/>
        </w:rPr>
        <w:t xml:space="preserve">. On the last question in the calculator, you will be asked to fill in various nutrient components. </w:t>
      </w:r>
    </w:p>
    <w:p w:rsidR="00FB3222" w:rsidRPr="00064BEB" w:rsidRDefault="00FB3222" w:rsidP="00FB3222">
      <w:pPr>
        <w:pStyle w:val="ListParagraph"/>
        <w:ind w:left="1440"/>
        <w:rPr>
          <w:rFonts w:ascii="Times New Roman" w:hAnsi="Times New Roman"/>
          <w:sz w:val="24"/>
          <w:szCs w:val="24"/>
        </w:rPr>
      </w:pPr>
    </w:p>
    <w:p w:rsidR="004F1005" w:rsidRDefault="004F1005">
      <w:pPr>
        <w:rPr>
          <w:rFonts w:ascii="Bell MT" w:hAnsi="Bell MT"/>
          <w:b/>
          <w:sz w:val="56"/>
          <w:szCs w:val="56"/>
        </w:rPr>
      </w:pPr>
      <w:r>
        <w:rPr>
          <w:rFonts w:ascii="Bell MT" w:hAnsi="Bell MT"/>
          <w:b/>
          <w:sz w:val="56"/>
          <w:szCs w:val="56"/>
        </w:rPr>
        <w:br w:type="page"/>
      </w:r>
    </w:p>
    <w:p w:rsidR="004F1005" w:rsidRPr="004F1005" w:rsidRDefault="00DA01B2" w:rsidP="004F1005">
      <w:pPr>
        <w:pStyle w:val="ListParagraph"/>
        <w:rPr>
          <w:rFonts w:ascii="Bell MT" w:hAnsi="Bell MT"/>
          <w:b/>
          <w:sz w:val="56"/>
          <w:szCs w:val="56"/>
        </w:rPr>
      </w:pPr>
      <w:r w:rsidRPr="000A57A8">
        <w:rPr>
          <w:rFonts w:ascii="Bell MT" w:hAnsi="Bell MT"/>
          <w:b/>
          <w:sz w:val="56"/>
          <w:szCs w:val="56"/>
        </w:rPr>
        <w:lastRenderedPageBreak/>
        <w:t>Smart Snack Standards</w:t>
      </w:r>
      <w:bookmarkStart w:id="0" w:name="_GoBack"/>
      <w:bookmarkEnd w:id="0"/>
    </w:p>
    <w:p w:rsidR="004174EF" w:rsidRPr="00C42C33" w:rsidRDefault="00FB3222" w:rsidP="004174EF">
      <w:pPr>
        <w:pStyle w:val="ListParagraph"/>
        <w:ind w:left="540"/>
        <w:rPr>
          <w:rFonts w:ascii="Bell MT" w:hAnsi="Bell MT"/>
          <w:sz w:val="24"/>
          <w:szCs w:val="24"/>
        </w:rPr>
      </w:pPr>
      <w:r w:rsidRPr="00C42C33">
        <w:rPr>
          <w:rFonts w:ascii="Bell MT" w:hAnsi="Bell MT"/>
          <w:noProof/>
          <w:sz w:val="24"/>
          <w:szCs w:val="24"/>
        </w:rPr>
        <w:drawing>
          <wp:inline distT="0" distB="0" distL="0" distR="0" wp14:anchorId="01C7E9F0" wp14:editId="6D665368">
            <wp:extent cx="3547872" cy="2249424"/>
            <wp:effectExtent l="0" t="0" r="0" b="0"/>
            <wp:docPr id="5" name="Picture 5" descr="Smart Snack Standards are displayed for each nutrient and either a Snack or Entree item.&#10;&#10;Calories:  &#10;Snack 200 calories or less&#10;Entree 350 calories or less&#10;&#10;Sodium:&#10;Snack 200 mg or less&#10;Entree 480 mg or less&#10;&#10;Total Fat:&#10;Snack 35% of calories or less&#10;Entree 35% of calories or less&#10;&#10;Saturated Fat:&#10;Snack Less than 10% of calories&#10;Entree Less than 10% of calories&#10;&#10;Trans Fat:&#10;Snack 0g&#10;Entree 0g&#10;&#10;Sugar:&#10;Snack 35% by weight or less&#10;Entree 35% by weight or less&#10;&#10;&#10;&#10;" title="Smart Snacks Standard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Screenshot 2017-10-13 13.57.28.png"/>
                    <pic:cNvPicPr>
                      <a:picLocks noChangeAspect="1" noChangeArrowheads="1"/>
                    </pic:cNvPicPr>
                  </pic:nvPicPr>
                  <pic:blipFill rotWithShape="1">
                    <a:blip r:embed="rId7">
                      <a:extLst>
                        <a:ext uri="{28A0092B-C50C-407E-A947-70E740481C1C}">
                          <a14:useLocalDpi xmlns:a14="http://schemas.microsoft.com/office/drawing/2010/main" val="0"/>
                        </a:ext>
                      </a:extLst>
                    </a:blip>
                    <a:srcRect l="30448" t="35897" r="30129" b="20513"/>
                    <a:stretch/>
                  </pic:blipFill>
                  <pic:spPr bwMode="auto">
                    <a:xfrm>
                      <a:off x="0" y="0"/>
                      <a:ext cx="3547872" cy="2249424"/>
                    </a:xfrm>
                    <a:prstGeom prst="rect">
                      <a:avLst/>
                    </a:prstGeom>
                    <a:noFill/>
                    <a:ln>
                      <a:noFill/>
                    </a:ln>
                    <a:extLst>
                      <a:ext uri="{53640926-AAD7-44D8-BBD7-CCE9431645EC}">
                        <a14:shadowObscured xmlns:a14="http://schemas.microsoft.com/office/drawing/2010/main"/>
                      </a:ext>
                    </a:extLst>
                  </pic:spPr>
                </pic:pic>
              </a:graphicData>
            </a:graphic>
          </wp:inline>
        </w:drawing>
      </w:r>
    </w:p>
    <w:p w:rsidR="000A57A8" w:rsidRPr="00FB3222" w:rsidRDefault="00F64A96" w:rsidP="00FB3222">
      <w:pPr>
        <w:pStyle w:val="ListParagraph"/>
        <w:ind w:left="540"/>
        <w:rPr>
          <w:rFonts w:ascii="Bell MT" w:hAnsi="Bell MT"/>
          <w:sz w:val="24"/>
          <w:szCs w:val="24"/>
        </w:rPr>
      </w:pPr>
      <w:r w:rsidRPr="00FB3222">
        <w:rPr>
          <w:rFonts w:ascii="Bell MT" w:hAnsi="Bell MT"/>
          <w:b/>
          <w:sz w:val="24"/>
          <w:szCs w:val="24"/>
        </w:rPr>
        <w:br w:type="page"/>
      </w:r>
      <w:r w:rsidR="000A57A8" w:rsidRPr="00FB3222">
        <w:rPr>
          <w:rFonts w:ascii="Bell MT" w:hAnsi="Bell MT"/>
          <w:b/>
          <w:sz w:val="52"/>
          <w:szCs w:val="52"/>
        </w:rPr>
        <w:lastRenderedPageBreak/>
        <w:t>How to Find Information on the Nutrition Facts Label</w:t>
      </w:r>
      <w:r w:rsidR="000A57A8" w:rsidRPr="00FB3222">
        <w:rPr>
          <w:rFonts w:ascii="Bell MT" w:hAnsi="Bell MT"/>
          <w:sz w:val="24"/>
          <w:szCs w:val="24"/>
        </w:rPr>
        <w:tab/>
      </w:r>
    </w:p>
    <w:p w:rsidR="000A57A8" w:rsidRPr="000A57A8" w:rsidRDefault="000A57A8" w:rsidP="000A57A8">
      <w:pPr>
        <w:pStyle w:val="ListParagraph"/>
        <w:ind w:left="540"/>
        <w:rPr>
          <w:rFonts w:ascii="Bell MT" w:hAnsi="Bell MT"/>
          <w:sz w:val="24"/>
          <w:szCs w:val="24"/>
        </w:rPr>
      </w:pPr>
    </w:p>
    <w:p w:rsidR="00FB3222" w:rsidRPr="00FB3222" w:rsidRDefault="00FB3222" w:rsidP="004174EF">
      <w:pPr>
        <w:pStyle w:val="ListParagraph"/>
        <w:numPr>
          <w:ilvl w:val="1"/>
          <w:numId w:val="7"/>
        </w:numPr>
        <w:ind w:left="540"/>
        <w:rPr>
          <w:rFonts w:ascii="Bell MT" w:hAnsi="Bell MT"/>
          <w:sz w:val="24"/>
          <w:szCs w:val="24"/>
        </w:rPr>
      </w:pPr>
      <w:r w:rsidRPr="00C42C33">
        <w:rPr>
          <w:rFonts w:ascii="Bell MT" w:hAnsi="Bell MT"/>
          <w:b/>
          <w:sz w:val="24"/>
          <w:szCs w:val="24"/>
        </w:rPr>
        <w:t xml:space="preserve">Use the resource </w:t>
      </w:r>
      <w:r>
        <w:rPr>
          <w:rFonts w:ascii="Bell MT" w:hAnsi="Bell MT"/>
          <w:b/>
          <w:sz w:val="24"/>
          <w:szCs w:val="24"/>
        </w:rPr>
        <w:t>below</w:t>
      </w:r>
      <w:r w:rsidRPr="00C42C33">
        <w:rPr>
          <w:rFonts w:ascii="Bell MT" w:hAnsi="Bell MT"/>
          <w:b/>
          <w:sz w:val="24"/>
          <w:szCs w:val="24"/>
        </w:rPr>
        <w:t xml:space="preserve"> to help guide you when trying to read a </w:t>
      </w:r>
      <w:r>
        <w:rPr>
          <w:rFonts w:ascii="Bell MT" w:hAnsi="Bell MT"/>
          <w:b/>
          <w:sz w:val="24"/>
          <w:szCs w:val="24"/>
        </w:rPr>
        <w:t>N</w:t>
      </w:r>
      <w:r w:rsidRPr="00C42C33">
        <w:rPr>
          <w:rFonts w:ascii="Bell MT" w:hAnsi="Bell MT"/>
          <w:b/>
          <w:sz w:val="24"/>
          <w:szCs w:val="24"/>
        </w:rPr>
        <w:t xml:space="preserve">utrition </w:t>
      </w:r>
      <w:r>
        <w:rPr>
          <w:rFonts w:ascii="Bell MT" w:hAnsi="Bell MT"/>
          <w:b/>
          <w:sz w:val="24"/>
          <w:szCs w:val="24"/>
        </w:rPr>
        <w:t>F</w:t>
      </w:r>
      <w:r w:rsidRPr="00C42C33">
        <w:rPr>
          <w:rFonts w:ascii="Bell MT" w:hAnsi="Bell MT"/>
          <w:b/>
          <w:sz w:val="24"/>
          <w:szCs w:val="24"/>
        </w:rPr>
        <w:t xml:space="preserve">acts </w:t>
      </w:r>
      <w:r>
        <w:rPr>
          <w:rFonts w:ascii="Bell MT" w:hAnsi="Bell MT"/>
          <w:b/>
          <w:sz w:val="24"/>
          <w:szCs w:val="24"/>
        </w:rPr>
        <w:t>L</w:t>
      </w:r>
      <w:r w:rsidRPr="00C42C33">
        <w:rPr>
          <w:rFonts w:ascii="Bell MT" w:hAnsi="Bell MT"/>
          <w:b/>
          <w:sz w:val="24"/>
          <w:szCs w:val="24"/>
        </w:rPr>
        <w:t>abel</w:t>
      </w:r>
      <w:r>
        <w:rPr>
          <w:rFonts w:ascii="Bell MT" w:hAnsi="Bell MT"/>
          <w:b/>
          <w:sz w:val="24"/>
          <w:szCs w:val="24"/>
        </w:rPr>
        <w:t>.</w:t>
      </w:r>
    </w:p>
    <w:p w:rsidR="00FB3222" w:rsidRPr="00FB3222" w:rsidRDefault="00FB3222" w:rsidP="00FB3222">
      <w:pPr>
        <w:pStyle w:val="ListParagraph"/>
        <w:ind w:left="540"/>
        <w:rPr>
          <w:rFonts w:ascii="Bell MT" w:hAnsi="Bell MT"/>
          <w:sz w:val="24"/>
          <w:szCs w:val="24"/>
        </w:rPr>
      </w:pPr>
    </w:p>
    <w:p w:rsidR="004174EF" w:rsidRPr="00C42C33" w:rsidRDefault="004174EF" w:rsidP="004174EF">
      <w:pPr>
        <w:pStyle w:val="ListParagraph"/>
        <w:numPr>
          <w:ilvl w:val="1"/>
          <w:numId w:val="7"/>
        </w:numPr>
        <w:ind w:left="540"/>
        <w:rPr>
          <w:rFonts w:ascii="Bell MT" w:hAnsi="Bell MT"/>
          <w:sz w:val="24"/>
          <w:szCs w:val="24"/>
        </w:rPr>
      </w:pPr>
      <w:r w:rsidRPr="00C42C33">
        <w:rPr>
          <w:rFonts w:ascii="Bell MT" w:hAnsi="Bell MT"/>
          <w:b/>
          <w:sz w:val="24"/>
          <w:szCs w:val="24"/>
        </w:rPr>
        <w:t>Double check the serving size to ensure that the information provided is based on accurate information</w:t>
      </w:r>
      <w:r w:rsidRPr="00C42C33">
        <w:rPr>
          <w:rFonts w:ascii="Bell MT" w:hAnsi="Bell MT"/>
          <w:sz w:val="24"/>
          <w:szCs w:val="24"/>
        </w:rPr>
        <w:t xml:space="preserve">. </w:t>
      </w:r>
    </w:p>
    <w:p w:rsidR="004174EF" w:rsidRPr="00C42C33" w:rsidRDefault="004174EF" w:rsidP="004174EF">
      <w:pPr>
        <w:pStyle w:val="ListParagraph"/>
        <w:numPr>
          <w:ilvl w:val="0"/>
          <w:numId w:val="8"/>
        </w:numPr>
        <w:rPr>
          <w:rFonts w:ascii="Bell MT" w:hAnsi="Bell MT"/>
          <w:sz w:val="24"/>
          <w:szCs w:val="24"/>
          <w:u w:val="single"/>
        </w:rPr>
      </w:pPr>
      <w:r w:rsidRPr="00C42C33">
        <w:rPr>
          <w:rFonts w:ascii="Bell MT" w:hAnsi="Bell MT"/>
          <w:sz w:val="24"/>
          <w:szCs w:val="24"/>
        </w:rPr>
        <w:t xml:space="preserve">For example, you are </w:t>
      </w:r>
      <w:r w:rsidR="00FB3222">
        <w:rPr>
          <w:rFonts w:ascii="Bell MT" w:hAnsi="Bell MT"/>
          <w:sz w:val="24"/>
          <w:szCs w:val="24"/>
        </w:rPr>
        <w:t xml:space="preserve">planning to sell </w:t>
      </w:r>
      <w:r w:rsidRPr="00C42C33">
        <w:rPr>
          <w:rFonts w:ascii="Bell MT" w:hAnsi="Bell MT"/>
          <w:sz w:val="24"/>
          <w:szCs w:val="24"/>
        </w:rPr>
        <w:t xml:space="preserve">a bag of </w:t>
      </w:r>
      <w:r w:rsidR="00FB3222">
        <w:rPr>
          <w:rFonts w:ascii="Bell MT" w:hAnsi="Bell MT"/>
          <w:sz w:val="24"/>
          <w:szCs w:val="24"/>
        </w:rPr>
        <w:t xml:space="preserve">chips.  One serving is one ounce, but the whole </w:t>
      </w:r>
      <w:r w:rsidRPr="00C42C33">
        <w:rPr>
          <w:rFonts w:ascii="Bell MT" w:hAnsi="Bell MT"/>
          <w:sz w:val="24"/>
          <w:szCs w:val="24"/>
        </w:rPr>
        <w:t xml:space="preserve">bag </w:t>
      </w:r>
      <w:r w:rsidR="00FB3222">
        <w:rPr>
          <w:rFonts w:ascii="Bell MT" w:hAnsi="Bell MT"/>
          <w:sz w:val="24"/>
          <w:szCs w:val="24"/>
        </w:rPr>
        <w:t xml:space="preserve">weighs 2 ounces and is equal to </w:t>
      </w:r>
      <w:r w:rsidRPr="00C42C33">
        <w:rPr>
          <w:rFonts w:ascii="Bell MT" w:hAnsi="Bell MT"/>
          <w:sz w:val="24"/>
          <w:szCs w:val="24"/>
        </w:rPr>
        <w:t xml:space="preserve">2 servings. The calories </w:t>
      </w:r>
      <w:r w:rsidR="00FB3222">
        <w:rPr>
          <w:rFonts w:ascii="Bell MT" w:hAnsi="Bell MT"/>
          <w:sz w:val="24"/>
          <w:szCs w:val="24"/>
        </w:rPr>
        <w:t>and o</w:t>
      </w:r>
      <w:r w:rsidRPr="00C42C33">
        <w:rPr>
          <w:rFonts w:ascii="Bell MT" w:hAnsi="Bell MT"/>
          <w:sz w:val="24"/>
          <w:szCs w:val="24"/>
        </w:rPr>
        <w:t>ther nutrition information are compliant</w:t>
      </w:r>
      <w:r w:rsidR="00FB3222">
        <w:rPr>
          <w:rFonts w:ascii="Bell MT" w:hAnsi="Bell MT"/>
          <w:sz w:val="24"/>
          <w:szCs w:val="24"/>
        </w:rPr>
        <w:t xml:space="preserve"> per serving</w:t>
      </w:r>
      <w:r w:rsidRPr="00C42C33">
        <w:rPr>
          <w:rFonts w:ascii="Bell MT" w:hAnsi="Bell MT"/>
          <w:sz w:val="24"/>
          <w:szCs w:val="24"/>
        </w:rPr>
        <w:t xml:space="preserve">, but when comparing the whole bag </w:t>
      </w:r>
      <w:r w:rsidR="00FB3222">
        <w:rPr>
          <w:rFonts w:ascii="Bell MT" w:hAnsi="Bell MT"/>
          <w:sz w:val="24"/>
          <w:szCs w:val="24"/>
        </w:rPr>
        <w:t>(2 servings)</w:t>
      </w:r>
      <w:r w:rsidRPr="00C42C33">
        <w:rPr>
          <w:rFonts w:ascii="Bell MT" w:hAnsi="Bell MT"/>
          <w:sz w:val="24"/>
          <w:szCs w:val="24"/>
        </w:rPr>
        <w:t xml:space="preserve">, you realize </w:t>
      </w:r>
      <w:r w:rsidR="00FB3222">
        <w:rPr>
          <w:rFonts w:ascii="Bell MT" w:hAnsi="Bell MT"/>
          <w:sz w:val="24"/>
          <w:szCs w:val="24"/>
        </w:rPr>
        <w:t xml:space="preserve">it </w:t>
      </w:r>
      <w:r w:rsidRPr="00C42C33">
        <w:rPr>
          <w:rFonts w:ascii="Bell MT" w:hAnsi="Bell MT"/>
          <w:sz w:val="24"/>
          <w:szCs w:val="24"/>
        </w:rPr>
        <w:t xml:space="preserve">will </w:t>
      </w:r>
      <w:r w:rsidR="00FB3222">
        <w:rPr>
          <w:rFonts w:ascii="Bell MT" w:hAnsi="Bell MT"/>
          <w:sz w:val="24"/>
          <w:szCs w:val="24"/>
        </w:rPr>
        <w:t>be</w:t>
      </w:r>
      <w:r w:rsidRPr="00C42C33">
        <w:rPr>
          <w:rFonts w:ascii="Bell MT" w:hAnsi="Bell MT"/>
          <w:sz w:val="24"/>
          <w:szCs w:val="24"/>
        </w:rPr>
        <w:t xml:space="preserve"> over the allo</w:t>
      </w:r>
      <w:r w:rsidR="00FB3222">
        <w:rPr>
          <w:rFonts w:ascii="Bell MT" w:hAnsi="Bell MT"/>
          <w:sz w:val="24"/>
          <w:szCs w:val="24"/>
        </w:rPr>
        <w:t>wable nutrition standards</w:t>
      </w:r>
      <w:r w:rsidRPr="00C42C33">
        <w:rPr>
          <w:rFonts w:ascii="Bell MT" w:hAnsi="Bell MT"/>
          <w:sz w:val="24"/>
          <w:szCs w:val="24"/>
        </w:rPr>
        <w:t xml:space="preserve">. </w:t>
      </w:r>
    </w:p>
    <w:p w:rsidR="00435723" w:rsidRPr="00FB3222" w:rsidRDefault="004174EF" w:rsidP="009D4CD1">
      <w:pPr>
        <w:pStyle w:val="ListParagraph"/>
        <w:numPr>
          <w:ilvl w:val="0"/>
          <w:numId w:val="8"/>
        </w:numPr>
      </w:pPr>
      <w:r w:rsidRPr="00435723">
        <w:rPr>
          <w:rFonts w:ascii="Bell MT" w:hAnsi="Bell MT"/>
          <w:sz w:val="24"/>
          <w:szCs w:val="24"/>
          <w:u w:val="single"/>
        </w:rPr>
        <w:t>In this case, it is best to find another product that has one serving per bag</w:t>
      </w:r>
      <w:r w:rsidR="00FB3222">
        <w:rPr>
          <w:rFonts w:ascii="Bell MT" w:hAnsi="Bell MT"/>
          <w:sz w:val="24"/>
          <w:szCs w:val="24"/>
          <w:u w:val="single"/>
        </w:rPr>
        <w:t xml:space="preserve"> or a different item </w:t>
      </w:r>
      <w:r w:rsidRPr="00435723">
        <w:rPr>
          <w:rFonts w:ascii="Bell MT" w:hAnsi="Bell MT"/>
          <w:sz w:val="24"/>
          <w:szCs w:val="24"/>
          <w:u w:val="single"/>
        </w:rPr>
        <w:t>to me</w:t>
      </w:r>
      <w:r w:rsidR="00FB3222">
        <w:rPr>
          <w:rFonts w:ascii="Bell MT" w:hAnsi="Bell MT"/>
          <w:sz w:val="24"/>
          <w:szCs w:val="24"/>
          <w:u w:val="single"/>
        </w:rPr>
        <w:t>et the nutrition standards</w:t>
      </w:r>
      <w:r w:rsidRPr="00435723">
        <w:rPr>
          <w:rFonts w:ascii="Bell MT" w:hAnsi="Bell MT"/>
          <w:sz w:val="24"/>
          <w:szCs w:val="24"/>
          <w:u w:val="single"/>
        </w:rPr>
        <w:t xml:space="preserve">. </w:t>
      </w:r>
    </w:p>
    <w:p w:rsidR="00FB3222" w:rsidRPr="00435723" w:rsidRDefault="00FB3222" w:rsidP="00FB3222">
      <w:pPr>
        <w:pStyle w:val="ListParagraph"/>
        <w:ind w:left="1440"/>
      </w:pPr>
    </w:p>
    <w:p w:rsidR="00CA4E25" w:rsidRPr="00C42C33" w:rsidRDefault="00435723" w:rsidP="00FB3222">
      <w:pPr>
        <w:pStyle w:val="ListParagraph"/>
        <w:ind w:left="1440"/>
        <w:rPr>
          <w:rFonts w:ascii="Bell MT" w:hAnsi="Bell MT"/>
          <w:sz w:val="24"/>
          <w:szCs w:val="24"/>
        </w:rPr>
      </w:pPr>
      <w:r w:rsidRPr="00C42C33">
        <w:rPr>
          <w:rFonts w:ascii="Bell MT" w:hAnsi="Bell MT"/>
          <w:noProof/>
        </w:rPr>
        <w:drawing>
          <wp:inline distT="0" distB="0" distL="0" distR="0" wp14:anchorId="5FD12869" wp14:editId="760827F2">
            <wp:extent cx="3236976" cy="3474720"/>
            <wp:effectExtent l="0" t="0" r="1905" b="0"/>
            <wp:docPr id="2" name="Picture 2" descr="Nutrition Facts Label that gives the Serving Size:  2 cups&#10;Serving Per Container&#10;&#10;Calories 140&#10;&#10;Total Fat 4g&#10;Saturated Fat 0g&#10;Trans Fat 0g&#10;&#10;Cholesterol 0mg&#10;Sodium 170mg&#10;Total Carbohydrate 25g&#10;Sugars 8g&#10;&#10;Ingredients:  listed in order of highest occurrence." title="Graphic of the Nutrition Fact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196" t="34193" r="66063" b="17539"/>
                    <a:stretch/>
                  </pic:blipFill>
                  <pic:spPr bwMode="auto">
                    <a:xfrm>
                      <a:off x="0" y="0"/>
                      <a:ext cx="3236976" cy="3474720"/>
                    </a:xfrm>
                    <a:prstGeom prst="rect">
                      <a:avLst/>
                    </a:prstGeom>
                    <a:ln>
                      <a:noFill/>
                    </a:ln>
                    <a:extLst>
                      <a:ext uri="{53640926-AAD7-44D8-BBD7-CCE9431645EC}">
                        <a14:shadowObscured xmlns:a14="http://schemas.microsoft.com/office/drawing/2010/main"/>
                      </a:ext>
                    </a:extLst>
                  </pic:spPr>
                </pic:pic>
              </a:graphicData>
            </a:graphic>
          </wp:inline>
        </w:drawing>
      </w:r>
      <w:r w:rsidR="004174EF" w:rsidRPr="00C42C33">
        <w:rPr>
          <w:rFonts w:ascii="Bell MT" w:hAnsi="Bell MT"/>
          <w:sz w:val="24"/>
          <w:szCs w:val="24"/>
        </w:rPr>
        <w:tab/>
      </w:r>
    </w:p>
    <w:sectPr w:rsidR="00CA4E25" w:rsidRPr="00C42C33" w:rsidSect="00122DB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5E5"/>
    <w:multiLevelType w:val="hybridMultilevel"/>
    <w:tmpl w:val="769A4F10"/>
    <w:lvl w:ilvl="0" w:tplc="B27834B2">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71EB"/>
    <w:multiLevelType w:val="hybridMultilevel"/>
    <w:tmpl w:val="5CBE3A8A"/>
    <w:lvl w:ilvl="0" w:tplc="4B92A3AA">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B500D"/>
    <w:multiLevelType w:val="hybridMultilevel"/>
    <w:tmpl w:val="8C701BD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5316E0"/>
    <w:multiLevelType w:val="hybridMultilevel"/>
    <w:tmpl w:val="34643690"/>
    <w:lvl w:ilvl="0" w:tplc="3C0AB892">
      <w:numFmt w:val="bullet"/>
      <w:lvlText w:val=""/>
      <w:lvlJc w:val="left"/>
      <w:pPr>
        <w:ind w:left="720" w:hanging="360"/>
      </w:pPr>
      <w:rPr>
        <w:rFonts w:ascii="Wingdings" w:eastAsia="Cambr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23777"/>
    <w:multiLevelType w:val="hybridMultilevel"/>
    <w:tmpl w:val="36DC055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CE7A72"/>
    <w:multiLevelType w:val="hybridMultilevel"/>
    <w:tmpl w:val="A02E7314"/>
    <w:lvl w:ilvl="0" w:tplc="04090001">
      <w:start w:val="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3203D"/>
    <w:multiLevelType w:val="hybridMultilevel"/>
    <w:tmpl w:val="0AC68BF6"/>
    <w:lvl w:ilvl="0" w:tplc="B27834B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624D02"/>
    <w:multiLevelType w:val="hybridMultilevel"/>
    <w:tmpl w:val="25B29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31C63"/>
    <w:multiLevelType w:val="hybridMultilevel"/>
    <w:tmpl w:val="7CC4106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C62257"/>
    <w:multiLevelType w:val="hybridMultilevel"/>
    <w:tmpl w:val="F8A0D79A"/>
    <w:lvl w:ilvl="0" w:tplc="56CC607C">
      <w:start w:val="1"/>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4"/>
  </w:num>
  <w:num w:numId="5">
    <w:abstractNumId w:val="6"/>
  </w:num>
  <w:num w:numId="6">
    <w:abstractNumId w:val="8"/>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A3"/>
    <w:rsid w:val="00064BEB"/>
    <w:rsid w:val="000A57A8"/>
    <w:rsid w:val="00122DB2"/>
    <w:rsid w:val="00277E96"/>
    <w:rsid w:val="00280355"/>
    <w:rsid w:val="002B7B29"/>
    <w:rsid w:val="00316F90"/>
    <w:rsid w:val="00321231"/>
    <w:rsid w:val="003F6FA3"/>
    <w:rsid w:val="004174EF"/>
    <w:rsid w:val="00424A55"/>
    <w:rsid w:val="00424BA7"/>
    <w:rsid w:val="004323DD"/>
    <w:rsid w:val="00435723"/>
    <w:rsid w:val="004F1005"/>
    <w:rsid w:val="00533540"/>
    <w:rsid w:val="006068AA"/>
    <w:rsid w:val="006438DA"/>
    <w:rsid w:val="00713F2A"/>
    <w:rsid w:val="007409BB"/>
    <w:rsid w:val="00741B4B"/>
    <w:rsid w:val="00810CB3"/>
    <w:rsid w:val="00A24DA2"/>
    <w:rsid w:val="00A43FCF"/>
    <w:rsid w:val="00A95AF6"/>
    <w:rsid w:val="00A9785E"/>
    <w:rsid w:val="00BA6A13"/>
    <w:rsid w:val="00BD0FD1"/>
    <w:rsid w:val="00BD3E6C"/>
    <w:rsid w:val="00C24F7E"/>
    <w:rsid w:val="00C42C33"/>
    <w:rsid w:val="00C82760"/>
    <w:rsid w:val="00CA4E25"/>
    <w:rsid w:val="00CC0881"/>
    <w:rsid w:val="00CF7213"/>
    <w:rsid w:val="00D81B06"/>
    <w:rsid w:val="00DA01B2"/>
    <w:rsid w:val="00DA5272"/>
    <w:rsid w:val="00DB0726"/>
    <w:rsid w:val="00ED2022"/>
    <w:rsid w:val="00EF60B9"/>
    <w:rsid w:val="00F523B7"/>
    <w:rsid w:val="00F64A96"/>
    <w:rsid w:val="00FB3222"/>
    <w:rsid w:val="00FC539C"/>
    <w:rsid w:val="00F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986B"/>
  <w15:chartTrackingRefBased/>
  <w15:docId w15:val="{2C53C0A6-78B3-4CFF-9833-61A9BDDD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A3"/>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F6FA3"/>
    <w:rPr>
      <w:color w:val="0000FF"/>
      <w:u w:val="single"/>
    </w:rPr>
  </w:style>
  <w:style w:type="paragraph" w:styleId="ListParagraph">
    <w:name w:val="List Paragraph"/>
    <w:basedOn w:val="Normal"/>
    <w:uiPriority w:val="34"/>
    <w:qFormat/>
    <w:rsid w:val="003F6FA3"/>
    <w:pPr>
      <w:ind w:left="720"/>
      <w:contextualSpacing/>
    </w:pPr>
  </w:style>
  <w:style w:type="paragraph" w:styleId="Title">
    <w:name w:val="Title"/>
    <w:basedOn w:val="Normal"/>
    <w:next w:val="Normal"/>
    <w:link w:val="TitleChar"/>
    <w:uiPriority w:val="10"/>
    <w:qFormat/>
    <w:rsid w:val="00BA6A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A13"/>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BA6A13"/>
    <w:rPr>
      <w:smallCaps/>
      <w:color w:val="5A5A5A" w:themeColor="text1" w:themeTint="A5"/>
    </w:rPr>
  </w:style>
  <w:style w:type="character" w:customStyle="1" w:styleId="UnresolvedMention">
    <w:name w:val="Unresolved Mention"/>
    <w:basedOn w:val="DefaultParagraphFont"/>
    <w:uiPriority w:val="99"/>
    <w:semiHidden/>
    <w:unhideWhenUsed/>
    <w:rsid w:val="00CA4E25"/>
    <w:rPr>
      <w:color w:val="808080"/>
      <w:shd w:val="clear" w:color="auto" w:fill="E6E6E6"/>
    </w:rPr>
  </w:style>
  <w:style w:type="character" w:styleId="FollowedHyperlink">
    <w:name w:val="FollowedHyperlink"/>
    <w:basedOn w:val="DefaultParagraphFont"/>
    <w:uiPriority w:val="99"/>
    <w:semiHidden/>
    <w:unhideWhenUsed/>
    <w:rsid w:val="00A24DA2"/>
    <w:rPr>
      <w:color w:val="800080" w:themeColor="followedHyperlink"/>
      <w:u w:val="single"/>
    </w:rPr>
  </w:style>
  <w:style w:type="paragraph" w:styleId="BalloonText">
    <w:name w:val="Balloon Text"/>
    <w:basedOn w:val="Normal"/>
    <w:link w:val="BalloonTextChar"/>
    <w:uiPriority w:val="99"/>
    <w:semiHidden/>
    <w:unhideWhenUsed/>
    <w:rsid w:val="00122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DB2"/>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odplanner.healthiergeneration.org/calcul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233D-285A-4390-A932-A54AF112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Fundraisers and Smart Snacks Guidelines</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Fundraisers and Smart Snacks Guidelines</dc:title>
  <dc:subject/>
  <dc:creator>Windows User</dc:creator>
  <cp:keywords/>
  <dc:description/>
  <cp:lastModifiedBy>Burns, Laura (DOE)</cp:lastModifiedBy>
  <cp:revision>3</cp:revision>
  <cp:lastPrinted>2017-10-19T14:59:00Z</cp:lastPrinted>
  <dcterms:created xsi:type="dcterms:W3CDTF">2017-12-08T14:56:00Z</dcterms:created>
  <dcterms:modified xsi:type="dcterms:W3CDTF">2022-07-28T14:55:00Z</dcterms:modified>
</cp:coreProperties>
</file>