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30F51C84" w:rsidR="006C0AD8" w:rsidRDefault="00CE54F2" w:rsidP="000E2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pict w14:anchorId="43D2FE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  <w:r w:rsidR="002163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English Instructional Plan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Addressing Themes, Characters, and Motifs in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African American Literature</w:t>
      </w:r>
    </w:p>
    <w:p w14:paraId="00000003" w14:textId="77777777" w:rsidR="006C0AD8" w:rsidRDefault="002163D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[Lesson Duration: Approximately 1-2 weeks.]</w:t>
      </w:r>
    </w:p>
    <w:p w14:paraId="00000004" w14:textId="7A59AD17" w:rsidR="006C0AD8" w:rsidRDefault="002163D8">
      <w:pPr>
        <w:tabs>
          <w:tab w:val="left" w:pos="2160"/>
        </w:tabs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Strand: </w:t>
      </w:r>
      <w:r w:rsidR="0083481A" w:rsidRPr="0083481A">
        <w:rPr>
          <w:rFonts w:ascii="Times New Roman" w:eastAsia="Times New Roman" w:hAnsi="Times New Roman" w:cs="Times New Roman"/>
          <w:b/>
          <w:sz w:val="24"/>
          <w:szCs w:val="24"/>
        </w:rPr>
        <w:t>11.4-12.4 Reading</w:t>
      </w:r>
    </w:p>
    <w:p w14:paraId="00000005" w14:textId="4DAD8DE6" w:rsidR="006C0AD8" w:rsidRDefault="002163D8">
      <w:pPr>
        <w:tabs>
          <w:tab w:val="left" w:pos="2160"/>
        </w:tabs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Integrated Strand/s: </w:t>
      </w:r>
      <w:r w:rsidR="0083481A">
        <w:rPr>
          <w:rFonts w:ascii="Times New Roman" w:eastAsia="Times New Roman" w:hAnsi="Times New Roman" w:cs="Times New Roman"/>
          <w:b/>
          <w:sz w:val="24"/>
          <w:szCs w:val="24"/>
        </w:rPr>
        <w:t>11.1-12.1, 11.2-12.2</w:t>
      </w:r>
      <w:r w:rsidR="00342AE8">
        <w:rPr>
          <w:rFonts w:ascii="Times New Roman" w:eastAsia="Times New Roman" w:hAnsi="Times New Roman" w:cs="Times New Roman"/>
          <w:b/>
          <w:sz w:val="24"/>
          <w:szCs w:val="24"/>
        </w:rPr>
        <w:t xml:space="preserve"> Communication and Multimodal Literacy</w:t>
      </w:r>
    </w:p>
    <w:p w14:paraId="0000000A" w14:textId="77777777" w:rsidR="006C0AD8" w:rsidRDefault="002163D8">
      <w:pPr>
        <w:tabs>
          <w:tab w:val="left" w:pos="216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Essential Understanding: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6C0AD8" w:rsidRDefault="006C0AD8">
      <w:pPr>
        <w:tabs>
          <w:tab w:val="left" w:pos="216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C0AD8" w:rsidRDefault="002163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 characteristics and cultures of historical periods and how the literature reflects those characteristics </w:t>
      </w:r>
    </w:p>
    <w:p w14:paraId="0000000D" w14:textId="77777777" w:rsidR="006C0AD8" w:rsidRDefault="006C0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6C0AD8" w:rsidRDefault="002163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and understand universal characters, themes, and motifs in American literature</w:t>
      </w:r>
    </w:p>
    <w:p w14:paraId="0000000F" w14:textId="77777777" w:rsidR="006C0AD8" w:rsidRDefault="006C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6C0AD8" w:rsidRDefault="002163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how an author’s intent is achieved by the use of context and language</w:t>
      </w:r>
    </w:p>
    <w:p w14:paraId="00000011" w14:textId="77777777" w:rsidR="006C0AD8" w:rsidRDefault="006C0AD8">
      <w:pPr>
        <w:rPr>
          <w:sz w:val="24"/>
          <w:szCs w:val="24"/>
        </w:rPr>
      </w:pPr>
    </w:p>
    <w:p w14:paraId="00000012" w14:textId="77777777" w:rsidR="006C0AD8" w:rsidRDefault="002163D8">
      <w:pPr>
        <w:tabs>
          <w:tab w:val="left" w:pos="2160"/>
        </w:tabs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Essential Knowledge, Skills, and Processes:</w:t>
      </w:r>
    </w:p>
    <w:p w14:paraId="00000013" w14:textId="77777777" w:rsidR="006C0AD8" w:rsidRDefault="002163D8">
      <w:pPr>
        <w:tabs>
          <w:tab w:val="left" w:pos="2160"/>
        </w:tabs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4" w14:textId="77777777" w:rsidR="006C0AD8" w:rsidRDefault="002163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analyze and critique themes and issues within and across texts related to</w:t>
      </w:r>
    </w:p>
    <w:p w14:paraId="00000015" w14:textId="77777777" w:rsidR="006C0AD8" w:rsidRDefault="002163D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political struggles</w:t>
      </w:r>
    </w:p>
    <w:p w14:paraId="00000016" w14:textId="77777777" w:rsidR="006C0AD8" w:rsidRDefault="002163D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ethnic and cultural mores and traditions</w:t>
      </w:r>
    </w:p>
    <w:p w14:paraId="00000017" w14:textId="77777777" w:rsidR="006C0AD8" w:rsidRDefault="002163D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rights, gender equity, and civil rights</w:t>
      </w:r>
    </w:p>
    <w:p w14:paraId="00000018" w14:textId="77777777" w:rsidR="006C0AD8" w:rsidRDefault="00216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recognize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understand universal characters, themes, and motifs in American literature.</w:t>
      </w:r>
    </w:p>
    <w:p w14:paraId="00000019" w14:textId="77777777" w:rsidR="006C0AD8" w:rsidRDefault="00216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an author’s intent is achieved by the use of context and language.</w:t>
      </w:r>
    </w:p>
    <w:p w14:paraId="0000001A" w14:textId="77777777" w:rsidR="006C0AD8" w:rsidRDefault="006C0A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6C0AD8" w:rsidRDefault="00216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SOL:  </w:t>
      </w:r>
    </w:p>
    <w:p w14:paraId="0000001C" w14:textId="77777777" w:rsidR="006C0AD8" w:rsidRDefault="006C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6C0AD8" w:rsidRDefault="0021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11.4c: Discuss American literature as it reflects traditional and contemporary themes, motifs, universal characters, and genres.</w:t>
      </w:r>
    </w:p>
    <w:p w14:paraId="0000001E" w14:textId="77777777" w:rsidR="006C0AD8" w:rsidRDefault="006C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C0AD8" w:rsidRDefault="002163D8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Reinforced (Related Standard) SOL: </w:t>
      </w:r>
    </w:p>
    <w:p w14:paraId="00000020" w14:textId="77777777" w:rsidR="006C0AD8" w:rsidRDefault="006C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C0AD8" w:rsidRDefault="0021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10.4j: Compare/contrast details in literary and informational nonfiction texts.  </w:t>
      </w:r>
    </w:p>
    <w:p w14:paraId="00000022" w14:textId="77777777" w:rsidR="006C0AD8" w:rsidRDefault="0021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11.4a: Describe different contributions of different cultures to the development of American literature.</w:t>
      </w:r>
    </w:p>
    <w:p w14:paraId="2631D348" w14:textId="5861F0CF" w:rsidR="00256C35" w:rsidRDefault="00256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C0AD8" w:rsidRDefault="00216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Background/Language: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5" w14:textId="77777777" w:rsidR="006C0AD8" w:rsidRDefault="006C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C0AD8" w:rsidRDefault="0021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should have a basic understanding of conference clues, figurative language, characterization, connotation, and authorial purpose.</w:t>
      </w:r>
    </w:p>
    <w:p w14:paraId="00000027" w14:textId="77777777" w:rsidR="006C0AD8" w:rsidRDefault="0021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should be able to use multimodal methods and resources in a digital collage.</w:t>
      </w:r>
    </w:p>
    <w:p w14:paraId="6434123A" w14:textId="77777777" w:rsidR="00342AE8" w:rsidRDefault="00342AE8">
      <w:pPr>
        <w:pStyle w:val="Heading2"/>
        <w:spacing w:before="100" w:after="60"/>
      </w:pPr>
    </w:p>
    <w:p w14:paraId="713B9757" w14:textId="77777777" w:rsidR="00342AE8" w:rsidRDefault="00342AE8">
      <w:pPr>
        <w:pStyle w:val="Heading2"/>
        <w:spacing w:before="100" w:after="60"/>
      </w:pPr>
    </w:p>
    <w:p w14:paraId="00000028" w14:textId="5FEBB996" w:rsidR="006C0AD8" w:rsidRDefault="002163D8">
      <w:pPr>
        <w:pStyle w:val="Heading2"/>
        <w:spacing w:before="100" w:after="60"/>
      </w:pPr>
      <w:r>
        <w:lastRenderedPageBreak/>
        <w:t xml:space="preserve">Materials </w:t>
      </w:r>
    </w:p>
    <w:p w14:paraId="00000029" w14:textId="77777777" w:rsidR="006C0AD8" w:rsidRDefault="002163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[Teacher Note:  Readings should hinge on the thematic unit questions and should be made up of a variety of texts, i.e. non-fiction, autobiography, fiction, and so on.]</w:t>
      </w:r>
    </w:p>
    <w:p w14:paraId="0000002A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reading: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Their Eyes Were Watching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by Zora Neale Hurston</w:t>
      </w:r>
    </w:p>
    <w:p w14:paraId="0000002B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 reading: “Letter from Birmingham Jail” by Martin Luther King, Jr. (available on www.commonlit.org)</w:t>
      </w:r>
    </w:p>
    <w:p w14:paraId="0000002C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 Reading: “Learning to Read” by Malcolm X</w:t>
      </w:r>
    </w:p>
    <w:p w14:paraId="0000002D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reading: “Looking for Zora” or “Everyday Use” (available on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www.commonlit.org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both by Alice Walker</w:t>
      </w:r>
    </w:p>
    <w:p w14:paraId="0000002E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viewing:  Newscast about the Richmond 34: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https://wtvr.com/2019/02/21/richmond-34-honored-59-years-after-thalhimers-sit-in/</w:t>
        </w:r>
      </w:hyperlink>
    </w:p>
    <w:p w14:paraId="0000002F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On-line journal (Word document), Google Doc, or composition notebook or binder</w:t>
      </w:r>
    </w:p>
    <w:p w14:paraId="00000030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Dialectical journal compiling written analysis based on annotations</w:t>
      </w:r>
    </w:p>
    <w:p w14:paraId="00000031" w14:textId="77777777" w:rsidR="006C0AD8" w:rsidRDefault="002163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Venn diagrams (graphic organizer)</w:t>
      </w:r>
    </w:p>
    <w:p w14:paraId="00000032" w14:textId="77777777" w:rsidR="006C0AD8" w:rsidRDefault="002163D8">
      <w:pPr>
        <w:pStyle w:val="Heading2"/>
        <w:spacing w:before="100"/>
      </w:pPr>
      <w:r>
        <w:t>Student/Teacher Actions: What should students be doing? What should teachers be doing?</w:t>
      </w:r>
    </w:p>
    <w:p w14:paraId="00000033" w14:textId="77777777" w:rsidR="006C0AD8" w:rsidRDefault="006C0AD8">
      <w:pPr>
        <w:rPr>
          <w:sz w:val="24"/>
          <w:szCs w:val="24"/>
        </w:rPr>
      </w:pPr>
    </w:p>
    <w:p w14:paraId="00000034" w14:textId="383F8BCE" w:rsidR="006C0AD8" w:rsidRDefault="002163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will review previously read material that covers the universal theme</w:t>
      </w:r>
      <w:r w:rsidR="001226DD">
        <w:rPr>
          <w:rFonts w:ascii="Times New Roman" w:eastAsia="Times New Roman" w:hAnsi="Times New Roman" w:cs="Times New Roman"/>
          <w:color w:val="000000"/>
          <w:sz w:val="24"/>
          <w:szCs w:val="24"/>
        </w:rPr>
        <w:t>s of justice and individuality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(Consider reviewing: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Kill a Mockingbird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Harper Lee,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Outsiders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S.E. Hinton, 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Antigone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Sophocles).  Teacher may provide a direct writing prompt or provoke a classroom discussion on reading material the students have read previously.  Consider questions on theme, character, symbolism, and other elements of language or literary devices.  </w:t>
      </w:r>
    </w:p>
    <w:p w14:paraId="00000035" w14:textId="77777777" w:rsidR="006C0AD8" w:rsidRDefault="002163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read and analyze readings (from the list above or teacher choice).  Teacher provides students with open-ended, exploratory reading response questions on elements of language or literary devices, including tone, diction, figurative language, and so on.   For example, how does the author use _________ to convey _________?  Consider timed writing responses, classwork, or homework for these reading responses.</w:t>
      </w:r>
    </w:p>
    <w:p w14:paraId="00000036" w14:textId="3FB24D7B" w:rsidR="006C0AD8" w:rsidRDefault="002163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will complete </w:t>
      </w:r>
      <w:r w:rsidR="00D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dialectical journal (example attached)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analyzing how the authors use the elements of language to convey purpose.  Teacher should encourage students to note: textual evidence, page number reference, and commentary.</w:t>
      </w:r>
    </w:p>
    <w:p w14:paraId="00000037" w14:textId="77777777" w:rsidR="006C0AD8" w:rsidRDefault="002163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their annotations and dialectical journal, have students – in pairs – complete a compare/contrast Venn diagram.  Students will present Venn diagram to the class.  Students should note intra-textual similarities, including authorial purpose.  Consider dissimilarities among the texts, including different authorial purpose, rhetorical occasions, figurative language, elements of style, and so on.  </w:t>
      </w:r>
    </w:p>
    <w:p w14:paraId="00000038" w14:textId="77777777" w:rsidR="006C0AD8" w:rsidRDefault="002163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reviews how authorial purpose conveys political struggle, individual rights, or cultural/societal tradition.  Consider a class discussion allowing students to use their Venn diagrams and annotations emphasizing how the writers use elements of language to accomplish authorial purpose.</w:t>
      </w:r>
    </w:p>
    <w:p w14:paraId="00000039" w14:textId="77777777" w:rsidR="006C0AD8" w:rsidRDefault="002163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complete summative assessment as outlined below.  Consider individual, partner, or small group work.</w:t>
      </w:r>
    </w:p>
    <w:p w14:paraId="0000003A" w14:textId="77777777" w:rsidR="006C0AD8" w:rsidRDefault="002163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Assessment (Diagnostic, Formative, Summative)</w:t>
      </w:r>
    </w:p>
    <w:p w14:paraId="0000003B" w14:textId="77777777" w:rsidR="006C0AD8" w:rsidRDefault="002163D8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 diagnostic assessment, teacher should circulate around the room during open discussions.  Review reading responses from the students to provoke a larger class discussion.</w:t>
      </w:r>
    </w:p>
    <w:p w14:paraId="0000003C" w14:textId="77777777" w:rsidR="006C0AD8" w:rsidRDefault="002163D8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 formative assessment tool, students will present their compare/contrast Venn diagrams to the class.  Consider individual or partner work for this assessment.</w:t>
      </w:r>
    </w:p>
    <w:p w14:paraId="0000003D" w14:textId="5BAF2494" w:rsidR="006C0AD8" w:rsidRDefault="002163D8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 summative assessment, students will create a research-based collage of visual images that </w:t>
      </w:r>
      <w:r w:rsidR="00D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figuratively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connect a historical example of direct action nonviolent protest to a contemporary example of direct action nonviolent protest.  The collage may be digital, drawn, painted, and so on.  Students must turn in an expositional essay that explains how the images in </w:t>
      </w:r>
      <w:r w:rsidR="00D5634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collage reflect contemporary issues.</w:t>
      </w:r>
    </w:p>
    <w:p w14:paraId="0000003E" w14:textId="77777777" w:rsidR="006C0AD8" w:rsidRDefault="002163D8">
      <w:pPr>
        <w:keepNext/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Writing Connections:</w:t>
      </w:r>
    </w:p>
    <w:p w14:paraId="00000043" w14:textId="0A3176EA" w:rsidR="006C0AD8" w:rsidRDefault="002163D8" w:rsidP="004B337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complete a written explanation detailing how the images they chose repre</w:t>
      </w:r>
      <w:r w:rsidR="00D56343">
        <w:rPr>
          <w:rFonts w:ascii="Times New Roman" w:eastAsia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figurative language, characterization, symbol, and</w:t>
      </w:r>
      <w:r w:rsidR="004B3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on, in their selected texts and will support this with textual evidence from their dialectical journal</w:t>
      </w:r>
    </w:p>
    <w:p w14:paraId="26ABB2E5" w14:textId="0E58D621" w:rsidR="004B3372" w:rsidRPr="004B3372" w:rsidRDefault="004B3372" w:rsidP="004B337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complete an argumentative writing task asking them to take a position on a character’s motives or values and support that position with textual evidence from their dialectical journal.</w:t>
      </w:r>
    </w:p>
    <w:p w14:paraId="00000044" w14:textId="77777777" w:rsidR="006C0AD8" w:rsidRDefault="006C0A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45" w14:textId="77777777" w:rsidR="006C0AD8" w:rsidRDefault="002163D8">
      <w:pPr>
        <w:keepNext/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Extensions and Connections (for all students)</w:t>
      </w:r>
    </w:p>
    <w:p w14:paraId="00000046" w14:textId="77777777" w:rsidR="006C0AD8" w:rsidRDefault="002163D8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should encourage students to utilize proper grammar, mechanics, spelling, and punctuation for the expositional essay component of the summative assessment.</w:t>
      </w:r>
    </w:p>
    <w:p w14:paraId="00000047" w14:textId="77777777" w:rsidR="006C0AD8" w:rsidRDefault="002163D8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 should encourage a synthesis of understanding allowing students to draw connections between a variety of texts and genres, i.e. nonfiction to fiction, article to short story, and so on.</w:t>
      </w:r>
    </w:p>
    <w:p w14:paraId="00000048" w14:textId="77777777" w:rsidR="006C0AD8" w:rsidRDefault="006C0A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77777777" w:rsidR="006C0AD8" w:rsidRDefault="002163D8">
      <w:pPr>
        <w:keepNext/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Strategies for Differentiation</w:t>
      </w:r>
    </w:p>
    <w:p w14:paraId="0000004A" w14:textId="77777777" w:rsidR="006C0AD8" w:rsidRDefault="002163D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partner or small group work with designated roles for diagnostic and formative and summative assessments.</w:t>
      </w:r>
    </w:p>
    <w:p w14:paraId="0000004B" w14:textId="77777777" w:rsidR="006C0AD8" w:rsidRDefault="002163D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allowing students to work with a partner on the summative assessment.</w:t>
      </w:r>
    </w:p>
    <w:p w14:paraId="0000004C" w14:textId="77777777" w:rsidR="006C0AD8" w:rsidRDefault="002163D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a deadline extension for certain students that need extended time.</w:t>
      </w:r>
    </w:p>
    <w:p w14:paraId="0000004D" w14:textId="77777777" w:rsidR="006C0AD8" w:rsidRDefault="002163D8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Note: The following pages are intended for classroom use for students as a visual aid to learning.</w:t>
      </w:r>
    </w:p>
    <w:p w14:paraId="0000004E" w14:textId="082AE018" w:rsidR="00256C35" w:rsidRDefault="00256C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D622C3" w14:textId="77777777" w:rsidR="00256C35" w:rsidRPr="009F2E80" w:rsidRDefault="00256C35" w:rsidP="00256C35">
      <w:pPr>
        <w:jc w:val="center"/>
        <w:rPr>
          <w:rFonts w:cs="Times New Roman"/>
          <w:b/>
          <w:szCs w:val="24"/>
        </w:rPr>
      </w:pPr>
      <w:r w:rsidRPr="009F2E80">
        <w:rPr>
          <w:rFonts w:cs="Times New Roman"/>
          <w:b/>
          <w:i/>
          <w:szCs w:val="24"/>
        </w:rPr>
        <w:t xml:space="preserve">Text Title </w:t>
      </w:r>
      <w:r w:rsidRPr="009F2E80">
        <w:rPr>
          <w:rFonts w:cs="Times New Roman"/>
          <w:b/>
          <w:szCs w:val="24"/>
        </w:rPr>
        <w:t>Dialectical Journal</w:t>
      </w:r>
    </w:p>
    <w:p w14:paraId="42006B7B" w14:textId="77777777" w:rsidR="00256C35" w:rsidRPr="009F2E80" w:rsidRDefault="00256C35" w:rsidP="00256C35">
      <w:pPr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Author:</w:t>
      </w:r>
    </w:p>
    <w:p w14:paraId="252822F4" w14:textId="77777777" w:rsidR="00256C35" w:rsidRPr="009F2E80" w:rsidRDefault="00256C35" w:rsidP="00256C35">
      <w:pPr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Student Name:</w:t>
      </w:r>
    </w:p>
    <w:p w14:paraId="0FD1B93E" w14:textId="77777777" w:rsidR="00256C35" w:rsidRPr="009F2E80" w:rsidRDefault="00256C35" w:rsidP="00256C35">
      <w:pPr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Class Period:</w:t>
      </w:r>
    </w:p>
    <w:p w14:paraId="6347E2A3" w14:textId="0C0CCEF1" w:rsidR="00256C35" w:rsidRPr="009F2E80" w:rsidRDefault="00256C35" w:rsidP="00256C35">
      <w:pPr>
        <w:rPr>
          <w:rFonts w:cs="Times New Roman"/>
          <w:b/>
          <w:szCs w:val="24"/>
        </w:rPr>
      </w:pPr>
      <w:r w:rsidRPr="009F2E80">
        <w:rPr>
          <w:rFonts w:cs="Times New Roman"/>
          <w:szCs w:val="24"/>
        </w:rPr>
        <w:t>Write quotes/excerpts from the text in the left column. Indicate page/line number in the center column. Respond to the quote/excerpt in the right column.  Focus your entries on the literary and/or rhetorical devices we have discussed throughout the school year thus far.  Including but not limited to:</w:t>
      </w:r>
    </w:p>
    <w:p w14:paraId="57CE7043" w14:textId="77777777" w:rsidR="00256C35" w:rsidRPr="009F2E80" w:rsidRDefault="00256C35" w:rsidP="00256C35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Indirect characterization</w:t>
      </w:r>
    </w:p>
    <w:p w14:paraId="25B5AD82" w14:textId="77777777" w:rsidR="00256C35" w:rsidRPr="009F2E80" w:rsidRDefault="00256C35" w:rsidP="00256C35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Mood</w:t>
      </w:r>
    </w:p>
    <w:p w14:paraId="45CE0EAC" w14:textId="77777777" w:rsidR="00256C35" w:rsidRPr="009F2E80" w:rsidRDefault="00256C35" w:rsidP="00256C35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Conflict (internal or external)</w:t>
      </w:r>
    </w:p>
    <w:p w14:paraId="0D15AA0A" w14:textId="77777777" w:rsidR="00256C35" w:rsidRPr="009F2E80" w:rsidRDefault="00256C35" w:rsidP="00256C35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Figurative Language</w:t>
      </w:r>
    </w:p>
    <w:p w14:paraId="1328F509" w14:textId="77777777" w:rsidR="00256C35" w:rsidRPr="009F2E80" w:rsidRDefault="00256C35" w:rsidP="00256C35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Symbolism</w:t>
      </w:r>
    </w:p>
    <w:p w14:paraId="1B9041F8" w14:textId="77777777" w:rsidR="00256C35" w:rsidRPr="009F2E80" w:rsidRDefault="00256C35" w:rsidP="00256C35">
      <w:pPr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Provide at least 2 annotations for each literary device.  Don’t forget to analyze the purpose/effect of each device.  Don’t simply identify it! (That’s the easy part!)  You will be using these annotations to:</w:t>
      </w:r>
    </w:p>
    <w:p w14:paraId="0A41D731" w14:textId="77777777" w:rsidR="00256C35" w:rsidRPr="009F2E80" w:rsidRDefault="00256C35" w:rsidP="00256C35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Identify the universal themes in the story</w:t>
      </w:r>
    </w:p>
    <w:p w14:paraId="1AE92D06" w14:textId="77777777" w:rsidR="00256C35" w:rsidRPr="009F2E80" w:rsidRDefault="00256C35" w:rsidP="00256C35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Explain how the historical context.</w:t>
      </w:r>
    </w:p>
    <w:p w14:paraId="7E70F7D2" w14:textId="77777777" w:rsidR="00256C35" w:rsidRPr="009F2E80" w:rsidRDefault="00256C35" w:rsidP="00256C35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How this story compares/contrasts to other stories we have read</w:t>
      </w:r>
    </w:p>
    <w:p w14:paraId="4EE03FC7" w14:textId="77777777" w:rsidR="00256C35" w:rsidRPr="009F2E80" w:rsidRDefault="00256C35" w:rsidP="00256C35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Show how writing elicits emotions/conveys purpose/develops plot, and so on.</w:t>
      </w:r>
    </w:p>
    <w:p w14:paraId="0BFBA550" w14:textId="626BBCE7" w:rsidR="00256C35" w:rsidRDefault="00256C3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A3AE373" w14:textId="77777777" w:rsidR="00256C35" w:rsidRPr="009F2E80" w:rsidRDefault="00256C35" w:rsidP="00256C35">
      <w:pPr>
        <w:rPr>
          <w:rFonts w:cs="Times New Roman"/>
          <w:szCs w:val="24"/>
        </w:rPr>
      </w:pPr>
    </w:p>
    <w:p w14:paraId="5001B6BE" w14:textId="77777777" w:rsidR="00256C35" w:rsidRPr="009F2E80" w:rsidRDefault="00256C35" w:rsidP="00256C35">
      <w:pPr>
        <w:jc w:val="center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1584"/>
        <w:gridCol w:w="4855"/>
      </w:tblGrid>
      <w:tr w:rsidR="00256C35" w:rsidRPr="009F2E80" w14:paraId="005AB03C" w14:textId="77777777" w:rsidTr="009D0DC5">
        <w:trPr>
          <w:trHeight w:val="720"/>
        </w:trPr>
        <w:tc>
          <w:tcPr>
            <w:tcW w:w="2911" w:type="dxa"/>
            <w:shd w:val="clear" w:color="auto" w:fill="BFBFBF" w:themeFill="background1" w:themeFillShade="BF"/>
          </w:tcPr>
          <w:p w14:paraId="6CCC7834" w14:textId="77777777" w:rsidR="00256C35" w:rsidRPr="009F2E80" w:rsidRDefault="00256C35" w:rsidP="009D0DC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>Quote/Evidence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14:paraId="7B2C5348" w14:textId="77777777" w:rsidR="00256C35" w:rsidRPr="009F2E80" w:rsidRDefault="00256C35" w:rsidP="009D0DC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>page/line #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6E83DCAD" w14:textId="77777777" w:rsidR="00256C35" w:rsidRPr="009F2E80" w:rsidRDefault="00256C35" w:rsidP="009D0DC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 xml:space="preserve">Analysis </w:t>
            </w:r>
          </w:p>
          <w:p w14:paraId="53B5CBDD" w14:textId="77777777" w:rsidR="00256C35" w:rsidRPr="009F2E80" w:rsidRDefault="00256C35" w:rsidP="009D0DC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>(use the list above to help you answer the significance of the device)</w:t>
            </w:r>
          </w:p>
        </w:tc>
      </w:tr>
      <w:tr w:rsidR="00256C35" w:rsidRPr="009F2E80" w14:paraId="7E6C310B" w14:textId="77777777" w:rsidTr="009D0DC5">
        <w:trPr>
          <w:trHeight w:val="1440"/>
        </w:trPr>
        <w:tc>
          <w:tcPr>
            <w:tcW w:w="2911" w:type="dxa"/>
          </w:tcPr>
          <w:p w14:paraId="3227A432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35D2E70F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76F70AF4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</w:tr>
      <w:tr w:rsidR="00256C35" w:rsidRPr="009F2E80" w14:paraId="389D4248" w14:textId="77777777" w:rsidTr="009D0DC5">
        <w:trPr>
          <w:trHeight w:val="1440"/>
        </w:trPr>
        <w:tc>
          <w:tcPr>
            <w:tcW w:w="2911" w:type="dxa"/>
          </w:tcPr>
          <w:p w14:paraId="17A25D52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4AE2E309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7D2CBEB6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256C35" w:rsidRPr="009F2E80" w14:paraId="10D03067" w14:textId="77777777" w:rsidTr="009D0DC5">
        <w:trPr>
          <w:trHeight w:val="1440"/>
        </w:trPr>
        <w:tc>
          <w:tcPr>
            <w:tcW w:w="2911" w:type="dxa"/>
          </w:tcPr>
          <w:p w14:paraId="040488DF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3D0375C7" w14:textId="77777777" w:rsidR="00256C35" w:rsidRPr="009F2E80" w:rsidRDefault="00256C35" w:rsidP="009D0DC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4855" w:type="dxa"/>
          </w:tcPr>
          <w:p w14:paraId="48CA37EC" w14:textId="77777777" w:rsidR="00256C35" w:rsidRPr="009F2E80" w:rsidRDefault="00256C35" w:rsidP="009D0DC5">
            <w:pPr>
              <w:ind w:left="360"/>
              <w:rPr>
                <w:rFonts w:cs="Times New Roman"/>
                <w:i/>
                <w:szCs w:val="24"/>
              </w:rPr>
            </w:pPr>
          </w:p>
        </w:tc>
      </w:tr>
      <w:tr w:rsidR="00256C35" w:rsidRPr="009F2E80" w14:paraId="424E5802" w14:textId="77777777" w:rsidTr="009D0DC5">
        <w:trPr>
          <w:trHeight w:val="1440"/>
        </w:trPr>
        <w:tc>
          <w:tcPr>
            <w:tcW w:w="2911" w:type="dxa"/>
          </w:tcPr>
          <w:p w14:paraId="1DDDA6D4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5B55CA76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0544FA98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256C35" w:rsidRPr="009F2E80" w14:paraId="4B3B92D0" w14:textId="77777777" w:rsidTr="009D0DC5">
        <w:trPr>
          <w:trHeight w:val="1440"/>
        </w:trPr>
        <w:tc>
          <w:tcPr>
            <w:tcW w:w="2911" w:type="dxa"/>
          </w:tcPr>
          <w:p w14:paraId="529326CF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7244A41E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4E5919B2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256C35" w:rsidRPr="009F2E80" w14:paraId="4F4D9336" w14:textId="77777777" w:rsidTr="009D0DC5">
        <w:trPr>
          <w:trHeight w:val="1440"/>
        </w:trPr>
        <w:tc>
          <w:tcPr>
            <w:tcW w:w="2911" w:type="dxa"/>
          </w:tcPr>
          <w:p w14:paraId="477C0489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7BC6E6D7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1892B59A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256C35" w:rsidRPr="009F2E80" w14:paraId="2E8027E1" w14:textId="77777777" w:rsidTr="009D0DC5">
        <w:trPr>
          <w:trHeight w:val="1440"/>
        </w:trPr>
        <w:tc>
          <w:tcPr>
            <w:tcW w:w="2911" w:type="dxa"/>
          </w:tcPr>
          <w:p w14:paraId="6E155648" w14:textId="77777777" w:rsidR="00256C35" w:rsidRPr="009F2E80" w:rsidRDefault="00256C35" w:rsidP="009D0DC5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439BF5ED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513662FB" w14:textId="77777777" w:rsidR="00256C35" w:rsidRPr="009F2E80" w:rsidRDefault="00256C35" w:rsidP="009D0DC5">
            <w:pPr>
              <w:pStyle w:val="ListParagraph"/>
              <w:rPr>
                <w:rFonts w:cs="Times New Roman"/>
                <w:szCs w:val="24"/>
              </w:rPr>
            </w:pPr>
          </w:p>
        </w:tc>
      </w:tr>
    </w:tbl>
    <w:p w14:paraId="00000054" w14:textId="77777777" w:rsidR="006C0AD8" w:rsidRDefault="006C0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C0AD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93CB" w14:textId="77777777" w:rsidR="002163D8" w:rsidRDefault="002163D8">
      <w:pPr>
        <w:spacing w:after="0" w:line="240" w:lineRule="auto"/>
      </w:pPr>
      <w:r>
        <w:separator/>
      </w:r>
    </w:p>
  </w:endnote>
  <w:endnote w:type="continuationSeparator" w:id="0">
    <w:p w14:paraId="06177424" w14:textId="77777777" w:rsidR="002163D8" w:rsidRDefault="0021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14BD76B7" w:rsidR="006C0AD8" w:rsidRDefault="002163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Virginia Department of Education ©2019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54F2">
      <w:rPr>
        <w:noProof/>
        <w:color w:val="000000"/>
      </w:rPr>
      <w:t>5</w:t>
    </w:r>
    <w:r>
      <w:rPr>
        <w:color w:val="000000"/>
      </w:rPr>
      <w:fldChar w:fldCharType="end"/>
    </w:r>
  </w:p>
  <w:p w14:paraId="00000059" w14:textId="77777777" w:rsidR="006C0AD8" w:rsidRDefault="006C0A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F752821" w14:textId="77777777" w:rsidR="002833BF" w:rsidRDefault="002833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30CFFD3C" w:rsidR="006C0AD8" w:rsidRDefault="002163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Virginia Department of Education ©2019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54F2">
      <w:rPr>
        <w:noProof/>
        <w:color w:val="000000"/>
      </w:rPr>
      <w:t>1</w:t>
    </w:r>
    <w:r>
      <w:rPr>
        <w:color w:val="000000"/>
      </w:rPr>
      <w:fldChar w:fldCharType="end"/>
    </w:r>
  </w:p>
  <w:p w14:paraId="10B37C46" w14:textId="77777777" w:rsidR="002833BF" w:rsidRDefault="002833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5084" w14:textId="77777777" w:rsidR="002163D8" w:rsidRDefault="002163D8">
      <w:pPr>
        <w:spacing w:after="0" w:line="240" w:lineRule="auto"/>
      </w:pPr>
      <w:r>
        <w:separator/>
      </w:r>
    </w:p>
  </w:footnote>
  <w:footnote w:type="continuationSeparator" w:id="0">
    <w:p w14:paraId="0CE1AEA2" w14:textId="77777777" w:rsidR="002163D8" w:rsidRDefault="0021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77777777" w:rsidR="006C0AD8" w:rsidRDefault="002163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rPr>
        <w:color w:val="000000"/>
      </w:rPr>
    </w:pPr>
    <w:r>
      <w:rPr>
        <w:i/>
        <w:color w:val="000000"/>
        <w:sz w:val="24"/>
        <w:szCs w:val="24"/>
      </w:rPr>
      <w:t>English Instructional Plan – Grade 11</w:t>
    </w:r>
  </w:p>
  <w:p w14:paraId="39AB2EBC" w14:textId="77777777" w:rsidR="002833BF" w:rsidRDefault="002833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7777777" w:rsidR="006C0AD8" w:rsidRDefault="006C0A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2EC5CC3" w14:textId="77777777" w:rsidR="002833BF" w:rsidRDefault="0028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A46"/>
    <w:multiLevelType w:val="multilevel"/>
    <w:tmpl w:val="09C2A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63708"/>
    <w:multiLevelType w:val="multilevel"/>
    <w:tmpl w:val="B3E02CAE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C1AC3"/>
    <w:multiLevelType w:val="multilevel"/>
    <w:tmpl w:val="B79EA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583843"/>
    <w:multiLevelType w:val="multilevel"/>
    <w:tmpl w:val="2AC8A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C60D9D"/>
    <w:multiLevelType w:val="multilevel"/>
    <w:tmpl w:val="FB069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261AC4"/>
    <w:multiLevelType w:val="multilevel"/>
    <w:tmpl w:val="077451CA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B80235"/>
    <w:multiLevelType w:val="hybridMultilevel"/>
    <w:tmpl w:val="CD56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332D"/>
    <w:multiLevelType w:val="multilevel"/>
    <w:tmpl w:val="EF6A61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2B0E96"/>
    <w:multiLevelType w:val="multilevel"/>
    <w:tmpl w:val="A5949E56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957E75"/>
    <w:multiLevelType w:val="hybridMultilevel"/>
    <w:tmpl w:val="C460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A5AB8"/>
    <w:multiLevelType w:val="multilevel"/>
    <w:tmpl w:val="37EC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0131CA"/>
    <w:multiLevelType w:val="multilevel"/>
    <w:tmpl w:val="AF5C0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8"/>
    <w:rsid w:val="000A44E7"/>
    <w:rsid w:val="000E221C"/>
    <w:rsid w:val="001226DD"/>
    <w:rsid w:val="002163D8"/>
    <w:rsid w:val="00256C35"/>
    <w:rsid w:val="002833BF"/>
    <w:rsid w:val="00342AE8"/>
    <w:rsid w:val="004B3372"/>
    <w:rsid w:val="006C0AD8"/>
    <w:rsid w:val="0083481A"/>
    <w:rsid w:val="00BD65AB"/>
    <w:rsid w:val="00CE54F2"/>
    <w:rsid w:val="00D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F0E043"/>
  <w15:docId w15:val="{5839F247-F9DD-4CEC-82EA-CA9D8040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semiHidden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F10D0B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F10D0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F10D0B"/>
    <w:pPr>
      <w:spacing w:after="60" w:line="240" w:lineRule="auto"/>
      <w:ind w:left="360"/>
    </w:pPr>
    <w:rPr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Bullet2"/>
    <w:rsid w:val="00F10D0B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F10D0B"/>
    <w:pPr>
      <w:spacing w:after="0" w:line="240" w:lineRule="auto"/>
      <w:ind w:left="1440" w:hanging="360"/>
    </w:pPr>
    <w:rPr>
      <w:rFonts w:eastAsia="Times New Roman" w:cs="Times New Roman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07080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256C3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3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onl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tvr.com/2019/02/21/richmond-34-honored-59-years-after-thalhimers-sit-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ALQutuGNrtaoW3a8NYb7+8Gkg==">AMUW2mUfxkPmwKJBjDeo+tvn2k9j9/btWHqOpdjhDEXXOi8OZsvPp8yhAmwAVFwB71azssCy19A0cFdemc2WAo4SRPRow3ywGfRsHiNNoRGvz5mkBAAKg9+NJW0XHDdsnJlHOTs/bitc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Department of Education</dc:creator>
  <cp:lastModifiedBy>VITA Program</cp:lastModifiedBy>
  <cp:revision>4</cp:revision>
  <dcterms:created xsi:type="dcterms:W3CDTF">2019-09-10T12:54:00Z</dcterms:created>
  <dcterms:modified xsi:type="dcterms:W3CDTF">2019-09-13T14:08:00Z</dcterms:modified>
</cp:coreProperties>
</file>