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FC" w:rsidRPr="003E75CD" w:rsidRDefault="001B1EFC" w:rsidP="004F63AF">
      <w:pPr>
        <w:spacing w:before="120"/>
        <w:jc w:val="both"/>
        <w:rPr>
          <w:rFonts w:asciiTheme="minorHAnsi" w:eastAsiaTheme="minorHAnsi" w:hAnsiTheme="minorHAnsi" w:cstheme="minorBidi"/>
          <w:sz w:val="18"/>
          <w:szCs w:val="22"/>
        </w:rPr>
      </w:pPr>
    </w:p>
    <w:p w:rsidR="001B1EFC" w:rsidRPr="001B1EFC" w:rsidRDefault="001B1EFC" w:rsidP="001B1EFC">
      <w:pPr>
        <w:pStyle w:val="Heading1"/>
      </w:pPr>
      <w:r w:rsidRPr="001B1EFC">
        <w:t xml:space="preserve">Mathematics 2016 Standards of Learning – </w:t>
      </w:r>
      <w:r w:rsidR="003E657A">
        <w:t>Trigonometry</w:t>
      </w:r>
      <w:r w:rsidRPr="001B1EFC">
        <w:t xml:space="preserve"> Curriculum Framework</w:t>
      </w:r>
    </w:p>
    <w:p w:rsidR="001B1EFC" w:rsidRPr="001B1EFC" w:rsidRDefault="001B1EFC" w:rsidP="001B1EFC">
      <w:pPr>
        <w:widowControl w:val="0"/>
        <w:rPr>
          <w:rFonts w:ascii="Calibri" w:eastAsia="Times New Roman" w:hAnsi="Calibri" w:cs="Calibri"/>
          <w:snapToGrid w:val="0"/>
          <w:sz w:val="22"/>
          <w:szCs w:val="22"/>
        </w:rPr>
      </w:pP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Board of Education </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Commonwealth of Virginia</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Copyright © 2016</w:t>
      </w:r>
    </w:p>
    <w:p w:rsidR="001B1EFC" w:rsidRPr="001B1EFC" w:rsidRDefault="001B1EFC" w:rsidP="001B1EFC">
      <w:pPr>
        <w:widowControl w:val="0"/>
        <w:rPr>
          <w:rFonts w:ascii="Calibri" w:eastAsia="Times New Roman" w:hAnsi="Calibri" w:cs="Calibri"/>
          <w:snapToGrid w:val="0"/>
          <w:sz w:val="22"/>
          <w:szCs w:val="22"/>
        </w:rPr>
      </w:pPr>
      <w:proofErr w:type="gramStart"/>
      <w:r w:rsidRPr="001B1EFC">
        <w:rPr>
          <w:rFonts w:ascii="Calibri" w:eastAsia="Times New Roman" w:hAnsi="Calibri" w:cs="Calibri"/>
          <w:snapToGrid w:val="0"/>
          <w:sz w:val="22"/>
          <w:szCs w:val="22"/>
        </w:rPr>
        <w:t>by</w:t>
      </w:r>
      <w:proofErr w:type="gramEnd"/>
      <w:r w:rsidRPr="001B1EFC">
        <w:rPr>
          <w:rFonts w:ascii="Calibri" w:eastAsia="Times New Roman" w:hAnsi="Calibri" w:cs="Calibri"/>
          <w:snapToGrid w:val="0"/>
          <w:sz w:val="22"/>
          <w:szCs w:val="22"/>
        </w:rPr>
        <w:t xml:space="preserve"> the Virginia Department of Education</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P.O. Box 2120</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Richmond, Virginia 23218-2120</w:t>
      </w:r>
    </w:p>
    <w:p w:rsidR="001B1EFC" w:rsidRPr="001B1EFC" w:rsidRDefault="001B1EFC" w:rsidP="001B1EFC">
      <w:pPr>
        <w:widowControl w:val="0"/>
        <w:rPr>
          <w:rFonts w:ascii="Calibri" w:eastAsia="Times New Roman" w:hAnsi="Calibri" w:cs="Calibri"/>
          <w:snapToGrid w:val="0"/>
          <w:color w:val="0000FF"/>
          <w:sz w:val="22"/>
          <w:szCs w:val="22"/>
          <w:u w:val="single"/>
        </w:rPr>
      </w:pPr>
      <w:r w:rsidRPr="001B1EFC">
        <w:rPr>
          <w:rFonts w:ascii="Calibri" w:eastAsia="Times New Roman" w:hAnsi="Calibri" w:cs="Calibri"/>
          <w:snapToGrid w:val="0"/>
          <w:color w:val="0000FF"/>
          <w:sz w:val="22"/>
          <w:szCs w:val="22"/>
        </w:rPr>
        <w:fldChar w:fldCharType="begin"/>
      </w:r>
      <w:r w:rsidRPr="001B1EFC">
        <w:rPr>
          <w:rFonts w:ascii="Calibri" w:eastAsia="Times New Roman" w:hAnsi="Calibri" w:cs="Calibri"/>
          <w:snapToGrid w:val="0"/>
          <w:color w:val="0000FF"/>
          <w:sz w:val="22"/>
          <w:szCs w:val="22"/>
        </w:rPr>
        <w:instrText xml:space="preserve"> HYPERLINK "http://doe.virginia.gov/" </w:instrText>
      </w:r>
      <w:r w:rsidRPr="001B1EFC">
        <w:rPr>
          <w:rFonts w:ascii="Calibri" w:eastAsia="Times New Roman" w:hAnsi="Calibri" w:cs="Calibri"/>
          <w:snapToGrid w:val="0"/>
          <w:color w:val="0000FF"/>
          <w:sz w:val="22"/>
          <w:szCs w:val="22"/>
        </w:rPr>
        <w:fldChar w:fldCharType="separate"/>
      </w:r>
      <w:r w:rsidRPr="001B1EFC">
        <w:rPr>
          <w:rFonts w:ascii="Calibri" w:eastAsia="Times New Roman" w:hAnsi="Calibri" w:cs="Calibri"/>
          <w:snapToGrid w:val="0"/>
          <w:color w:val="0000FF"/>
          <w:sz w:val="22"/>
          <w:szCs w:val="22"/>
          <w:u w:val="single"/>
        </w:rPr>
        <w:t>http://www.doe.virginia.gov</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color w:val="0000FF"/>
          <w:sz w:val="22"/>
          <w:szCs w:val="22"/>
        </w:rPr>
        <w:fldChar w:fldCharType="end"/>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All rights reserved. Reproduction of these materials for instructional purposes in public school classrooms in Virginia is permitted.</w:t>
      </w:r>
    </w:p>
    <w:p w:rsidR="001B1EFC" w:rsidRPr="001B1EFC" w:rsidRDefault="001B1EFC" w:rsidP="001B1EFC">
      <w:pPr>
        <w:widowControl w:val="0"/>
        <w:rPr>
          <w:rFonts w:ascii="Calibri" w:eastAsia="Times New Roman" w:hAnsi="Calibri" w:cs="Calibri"/>
          <w:snapToGrid w:val="0"/>
          <w:sz w:val="22"/>
          <w:szCs w:val="22"/>
        </w:rPr>
      </w:pPr>
    </w:p>
    <w:p w:rsidR="001B1EFC" w:rsidRPr="001B1EFC" w:rsidRDefault="001B1EFC" w:rsidP="001B1EFC">
      <w:pPr>
        <w:widowControl w:val="0"/>
        <w:rPr>
          <w:rFonts w:ascii="Calibri" w:eastAsia="Times New Roman" w:hAnsi="Calibri" w:cs="Calibri"/>
          <w:b/>
          <w:snapToGrid w:val="0"/>
          <w:sz w:val="22"/>
          <w:szCs w:val="22"/>
        </w:rPr>
      </w:pPr>
      <w:r w:rsidRPr="001B1EFC">
        <w:rPr>
          <w:rFonts w:ascii="Calibri" w:eastAsia="Times New Roman" w:hAnsi="Calibri" w:cs="Calibri"/>
          <w:b/>
          <w:snapToGrid w:val="0"/>
          <w:sz w:val="22"/>
          <w:szCs w:val="22"/>
        </w:rPr>
        <w:t>Superintendent of Public Instruction</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Steven R. Staples</w:t>
      </w:r>
    </w:p>
    <w:p w:rsidR="001B1EFC" w:rsidRPr="001B1EFC" w:rsidRDefault="001B1EFC" w:rsidP="001B1EFC">
      <w:pPr>
        <w:widowControl w:val="0"/>
        <w:tabs>
          <w:tab w:val="left" w:pos="1275"/>
        </w:tabs>
        <w:rPr>
          <w:rFonts w:ascii="Calibri" w:eastAsia="Times New Roman" w:hAnsi="Calibri" w:cs="Calibri"/>
          <w:snapToGrid w:val="0"/>
          <w:sz w:val="22"/>
          <w:szCs w:val="22"/>
        </w:rPr>
      </w:pPr>
    </w:p>
    <w:p w:rsidR="001B1EFC" w:rsidRPr="001B1EFC" w:rsidRDefault="001B1EFC" w:rsidP="001B1EFC">
      <w:pPr>
        <w:widowControl w:val="0"/>
        <w:rPr>
          <w:rFonts w:ascii="Calibri" w:eastAsia="Times New Roman" w:hAnsi="Calibri" w:cs="Calibri"/>
          <w:b/>
          <w:snapToGrid w:val="0"/>
          <w:sz w:val="22"/>
          <w:szCs w:val="22"/>
        </w:rPr>
      </w:pPr>
      <w:r w:rsidRPr="001B1EFC">
        <w:rPr>
          <w:rFonts w:ascii="Calibri" w:eastAsia="Times New Roman" w:hAnsi="Calibri" w:cs="Calibri"/>
          <w:b/>
          <w:snapToGrid w:val="0"/>
          <w:sz w:val="22"/>
          <w:szCs w:val="22"/>
        </w:rPr>
        <w:t>Chief Academic Officer/Assistant Superintendent</w:t>
      </w:r>
      <w:r w:rsidRPr="001B1EFC">
        <w:rPr>
          <w:rFonts w:ascii="Calibri" w:eastAsia="Times New Roman" w:hAnsi="Calibri" w:cs="Calibri"/>
          <w:snapToGrid w:val="0"/>
          <w:sz w:val="22"/>
          <w:szCs w:val="22"/>
        </w:rPr>
        <w:t xml:space="preserve"> </w:t>
      </w:r>
      <w:r w:rsidRPr="001B1EFC">
        <w:rPr>
          <w:rFonts w:ascii="Calibri" w:eastAsia="Times New Roman" w:hAnsi="Calibri" w:cs="Calibri"/>
          <w:b/>
          <w:snapToGrid w:val="0"/>
          <w:sz w:val="22"/>
          <w:szCs w:val="22"/>
        </w:rPr>
        <w:t>for Instruction</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Steven M. </w:t>
      </w:r>
      <w:proofErr w:type="spellStart"/>
      <w:r w:rsidRPr="001B1EFC">
        <w:rPr>
          <w:rFonts w:ascii="Calibri" w:eastAsia="Times New Roman" w:hAnsi="Calibri" w:cs="Calibri"/>
          <w:snapToGrid w:val="0"/>
          <w:sz w:val="22"/>
          <w:szCs w:val="22"/>
        </w:rPr>
        <w:t>Constantino</w:t>
      </w:r>
      <w:proofErr w:type="spellEnd"/>
    </w:p>
    <w:p w:rsidR="001B1EFC" w:rsidRPr="001B1EFC" w:rsidRDefault="001B1EFC" w:rsidP="001B1EFC">
      <w:pPr>
        <w:widowControl w:val="0"/>
        <w:rPr>
          <w:rFonts w:ascii="Calibri" w:eastAsia="Times New Roman" w:hAnsi="Calibri" w:cs="Calibri"/>
          <w:snapToGrid w:val="0"/>
          <w:sz w:val="22"/>
          <w:szCs w:val="22"/>
        </w:rPr>
      </w:pPr>
    </w:p>
    <w:p w:rsidR="001B1EFC" w:rsidRPr="001B1EFC" w:rsidRDefault="001B1EFC" w:rsidP="001B1EFC">
      <w:pPr>
        <w:widowControl w:val="0"/>
        <w:rPr>
          <w:rFonts w:ascii="Calibri" w:eastAsia="Times New Roman" w:hAnsi="Calibri" w:cs="Calibri"/>
          <w:b/>
          <w:snapToGrid w:val="0"/>
          <w:sz w:val="22"/>
          <w:szCs w:val="22"/>
        </w:rPr>
      </w:pPr>
      <w:r w:rsidRPr="001B1EFC">
        <w:rPr>
          <w:rFonts w:ascii="Calibri" w:eastAsia="Times New Roman" w:hAnsi="Calibri" w:cs="Calibri"/>
          <w:b/>
          <w:snapToGrid w:val="0"/>
          <w:sz w:val="22"/>
          <w:szCs w:val="22"/>
        </w:rPr>
        <w:t>Office of Mathematics and Governor’s Schools</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Debra Delozier, Mathematics Specialist</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Tina </w:t>
      </w:r>
      <w:proofErr w:type="spellStart"/>
      <w:r w:rsidRPr="001B1EFC">
        <w:rPr>
          <w:rFonts w:ascii="Calibri" w:eastAsia="Times New Roman" w:hAnsi="Calibri" w:cs="Calibri"/>
          <w:snapToGrid w:val="0"/>
          <w:sz w:val="22"/>
          <w:szCs w:val="22"/>
        </w:rPr>
        <w:t>Mazzacane</w:t>
      </w:r>
      <w:proofErr w:type="spellEnd"/>
      <w:r w:rsidRPr="001B1EFC">
        <w:rPr>
          <w:rFonts w:ascii="Calibri" w:eastAsia="Times New Roman" w:hAnsi="Calibri" w:cs="Calibri"/>
          <w:snapToGrid w:val="0"/>
          <w:sz w:val="22"/>
          <w:szCs w:val="22"/>
        </w:rPr>
        <w:t>, Mathematics and Science Specialist</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Christa </w:t>
      </w:r>
      <w:proofErr w:type="spellStart"/>
      <w:r w:rsidRPr="001B1EFC">
        <w:rPr>
          <w:rFonts w:ascii="Calibri" w:eastAsia="Times New Roman" w:hAnsi="Calibri" w:cs="Calibri"/>
          <w:snapToGrid w:val="0"/>
          <w:sz w:val="22"/>
          <w:szCs w:val="22"/>
        </w:rPr>
        <w:t>Southall</w:t>
      </w:r>
      <w:proofErr w:type="spellEnd"/>
      <w:r w:rsidRPr="001B1EFC">
        <w:rPr>
          <w:rFonts w:ascii="Calibri" w:eastAsia="Times New Roman" w:hAnsi="Calibri" w:cs="Calibri"/>
          <w:snapToGrid w:val="0"/>
          <w:sz w:val="22"/>
          <w:szCs w:val="22"/>
        </w:rPr>
        <w:t>, Mathematics Specialist</w:t>
      </w:r>
    </w:p>
    <w:p w:rsidR="001B1EFC" w:rsidRPr="001B1EFC" w:rsidRDefault="001B1EFC" w:rsidP="001B1EFC">
      <w:pPr>
        <w:widowControl w:val="0"/>
        <w:rPr>
          <w:rFonts w:ascii="Calibri" w:eastAsia="Times New Roman" w:hAnsi="Calibri" w:cs="Calibri"/>
          <w:b/>
          <w:snapToGrid w:val="0"/>
          <w:sz w:val="22"/>
          <w:szCs w:val="22"/>
        </w:rPr>
      </w:pPr>
    </w:p>
    <w:p w:rsidR="001B1EFC" w:rsidRPr="001B1EFC" w:rsidRDefault="001B1EFC" w:rsidP="001B1EFC">
      <w:pPr>
        <w:widowControl w:val="0"/>
        <w:rPr>
          <w:rFonts w:ascii="Calibri" w:eastAsia="Times New Roman" w:hAnsi="Calibri" w:cs="Calibri"/>
          <w:b/>
          <w:snapToGrid w:val="0"/>
          <w:sz w:val="22"/>
          <w:szCs w:val="22"/>
        </w:rPr>
      </w:pPr>
      <w:r w:rsidRPr="001B1EFC">
        <w:rPr>
          <w:rFonts w:ascii="Calibri" w:eastAsia="Times New Roman" w:hAnsi="Calibri" w:cs="Calibri"/>
          <w:b/>
          <w:snapToGrid w:val="0"/>
          <w:sz w:val="22"/>
          <w:szCs w:val="22"/>
        </w:rPr>
        <w:t>Acknowledgements</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The Virginia Department of Education wishes to express sincere thanks to Michael </w:t>
      </w:r>
      <w:proofErr w:type="spellStart"/>
      <w:r w:rsidRPr="001B1EFC">
        <w:rPr>
          <w:rFonts w:ascii="Calibri" w:eastAsia="Times New Roman" w:hAnsi="Calibri" w:cs="Calibri"/>
          <w:snapToGrid w:val="0"/>
          <w:sz w:val="22"/>
          <w:szCs w:val="22"/>
        </w:rPr>
        <w:t>Bolling</w:t>
      </w:r>
      <w:proofErr w:type="spellEnd"/>
      <w:r w:rsidRPr="001B1EFC">
        <w:rPr>
          <w:rFonts w:ascii="Calibri" w:eastAsia="Times New Roman" w:hAnsi="Calibri" w:cs="Calibri"/>
          <w:snapToGrid w:val="0"/>
          <w:sz w:val="22"/>
          <w:szCs w:val="22"/>
        </w:rPr>
        <w:t xml:space="preserve">, who assisted in the development of the 2016 </w:t>
      </w:r>
      <w:r w:rsidRPr="001B1EFC">
        <w:rPr>
          <w:rFonts w:ascii="Calibri" w:eastAsia="Times New Roman" w:hAnsi="Calibri" w:cs="Calibri"/>
          <w:i/>
          <w:snapToGrid w:val="0"/>
          <w:sz w:val="22"/>
          <w:szCs w:val="22"/>
        </w:rPr>
        <w:t xml:space="preserve">Mathematics Standards </w:t>
      </w:r>
      <w:proofErr w:type="gramStart"/>
      <w:r w:rsidRPr="001B1EFC">
        <w:rPr>
          <w:rFonts w:ascii="Calibri" w:eastAsia="Times New Roman" w:hAnsi="Calibri" w:cs="Calibri"/>
          <w:i/>
          <w:snapToGrid w:val="0"/>
          <w:sz w:val="22"/>
          <w:szCs w:val="22"/>
        </w:rPr>
        <w:t>of</w:t>
      </w:r>
      <w:proofErr w:type="gramEnd"/>
      <w:r w:rsidRPr="001B1EFC">
        <w:rPr>
          <w:rFonts w:ascii="Calibri" w:eastAsia="Times New Roman" w:hAnsi="Calibri" w:cs="Calibri"/>
          <w:i/>
          <w:snapToGrid w:val="0"/>
          <w:sz w:val="22"/>
          <w:szCs w:val="22"/>
        </w:rPr>
        <w:t xml:space="preserve"> Learning </w:t>
      </w:r>
      <w:r w:rsidRPr="001B1EFC">
        <w:rPr>
          <w:rFonts w:ascii="Calibri" w:eastAsia="Times New Roman" w:hAnsi="Calibri" w:cs="Calibri"/>
          <w:snapToGrid w:val="0"/>
          <w:sz w:val="22"/>
          <w:szCs w:val="22"/>
        </w:rPr>
        <w:t xml:space="preserve">and 2016 </w:t>
      </w:r>
      <w:r w:rsidRPr="001B1EFC">
        <w:rPr>
          <w:rFonts w:ascii="Calibri" w:eastAsia="Times New Roman" w:hAnsi="Calibri" w:cs="Calibri"/>
          <w:i/>
          <w:snapToGrid w:val="0"/>
          <w:sz w:val="22"/>
          <w:szCs w:val="22"/>
        </w:rPr>
        <w:t>Mathematics Standards of Learning Curriculum Framework</w:t>
      </w:r>
      <w:r w:rsidRPr="001B1EFC">
        <w:rPr>
          <w:rFonts w:ascii="Calibri" w:eastAsia="Times New Roman" w:hAnsi="Calibri" w:cs="Calibri"/>
          <w:snapToGrid w:val="0"/>
          <w:sz w:val="22"/>
          <w:szCs w:val="22"/>
        </w:rPr>
        <w:t>.</w:t>
      </w:r>
    </w:p>
    <w:p w:rsidR="001B1EFC" w:rsidRPr="001B1EFC" w:rsidRDefault="001B1EFC" w:rsidP="001B1EFC">
      <w:pPr>
        <w:widowControl w:val="0"/>
        <w:rPr>
          <w:rFonts w:ascii="Calibri" w:eastAsia="Times New Roman" w:hAnsi="Calibri" w:cs="Calibri"/>
          <w:snapToGrid w:val="0"/>
          <w:sz w:val="22"/>
          <w:szCs w:val="22"/>
        </w:rPr>
      </w:pPr>
    </w:p>
    <w:p w:rsidR="001B1EFC" w:rsidRPr="001B1EFC" w:rsidRDefault="001B1EFC" w:rsidP="001B1EFC">
      <w:pPr>
        <w:widowControl w:val="0"/>
        <w:rPr>
          <w:rFonts w:ascii="Calibri" w:eastAsia="Times New Roman" w:hAnsi="Calibri" w:cs="Calibri"/>
          <w:b/>
          <w:snapToGrid w:val="0"/>
          <w:sz w:val="22"/>
          <w:szCs w:val="22"/>
        </w:rPr>
      </w:pPr>
      <w:r w:rsidRPr="001B1EFC">
        <w:rPr>
          <w:rFonts w:ascii="Calibri" w:eastAsia="Times New Roman" w:hAnsi="Calibri" w:cs="Calibri"/>
          <w:b/>
          <w:snapToGrid w:val="0"/>
          <w:sz w:val="22"/>
          <w:szCs w:val="22"/>
        </w:rPr>
        <w:t>NOTICE</w:t>
      </w:r>
    </w:p>
    <w:p w:rsidR="001B1EFC" w:rsidRPr="001B1EFC" w:rsidRDefault="001B1EFC" w:rsidP="001B1EFC">
      <w:pPr>
        <w:widowControl w:val="0"/>
        <w:rPr>
          <w:rFonts w:ascii="Calibri" w:eastAsia="Times New Roman" w:hAnsi="Calibri" w:cs="Calibri"/>
          <w:snapToGrid w:val="0"/>
          <w:sz w:val="22"/>
          <w:szCs w:val="22"/>
        </w:rPr>
      </w:pPr>
      <w:r w:rsidRPr="001B1EFC">
        <w:rPr>
          <w:rFonts w:ascii="Calibri" w:eastAsia="Times New Roman" w:hAnsi="Calibri" w:cs="Calibri"/>
          <w:snapToGrid w:val="0"/>
          <w:sz w:val="22"/>
          <w:szCs w:val="22"/>
        </w:rPr>
        <w:t>The Virginia Department of Education does not unlawfully discriminate on the basis of race, color, sex, national origin, age, or disability in employment or in its educational programs or services.</w:t>
      </w:r>
    </w:p>
    <w:p w:rsidR="001B1EFC" w:rsidRPr="001B1EFC" w:rsidRDefault="001B1EFC" w:rsidP="001B1EFC">
      <w:pPr>
        <w:widowControl w:val="0"/>
        <w:rPr>
          <w:rFonts w:ascii="Calibri" w:eastAsia="Times New Roman" w:hAnsi="Calibri" w:cs="Calibri"/>
          <w:snapToGrid w:val="0"/>
          <w:sz w:val="22"/>
          <w:szCs w:val="22"/>
          <w:u w:val="single"/>
        </w:rPr>
      </w:pPr>
    </w:p>
    <w:p w:rsidR="001B1EFC" w:rsidRPr="001B1EFC" w:rsidRDefault="001B1EFC" w:rsidP="001B1EFC">
      <w:pPr>
        <w:pStyle w:val="Heading2"/>
      </w:pPr>
      <w:r w:rsidRPr="001B1EFC">
        <w:t>Virginia 2016 Mathematics Standards of Learning Curriculum Framework - Introduction</w:t>
      </w:r>
    </w:p>
    <w:p w:rsidR="001B1EFC" w:rsidRPr="001B1EFC" w:rsidRDefault="001B1EFC" w:rsidP="001B1EFC">
      <w:pPr>
        <w:widowControl w:val="0"/>
        <w:jc w:val="both"/>
        <w:rPr>
          <w:rFonts w:ascii="Calibri" w:eastAsia="Times New Roman" w:hAnsi="Calibri" w:cs="Calibri"/>
          <w:strike/>
          <w:snapToGrid w:val="0"/>
          <w:sz w:val="22"/>
          <w:szCs w:val="22"/>
        </w:rPr>
      </w:pPr>
      <w:r w:rsidRPr="001B1EFC">
        <w:rPr>
          <w:rFonts w:ascii="Calibri" w:eastAsia="Times New Roman" w:hAnsi="Calibri" w:cs="Calibri"/>
          <w:snapToGrid w:val="0"/>
          <w:sz w:val="22"/>
          <w:szCs w:val="22"/>
        </w:rPr>
        <w:t xml:space="preserve">The 2016 </w:t>
      </w:r>
      <w:r w:rsidRPr="001B1EFC">
        <w:rPr>
          <w:rFonts w:ascii="Calibri" w:eastAsia="Times New Roman" w:hAnsi="Calibri" w:cs="Calibri"/>
          <w:i/>
          <w:snapToGrid w:val="0"/>
          <w:sz w:val="22"/>
          <w:szCs w:val="22"/>
        </w:rPr>
        <w:t>Mathematics Standards of Learning</w:t>
      </w:r>
      <w:r w:rsidRPr="001B1EFC">
        <w:rPr>
          <w:rFonts w:ascii="Calibri" w:eastAsia="Times New Roman" w:hAnsi="Calibri" w:cs="Calibri"/>
          <w:snapToGrid w:val="0"/>
          <w:sz w:val="22"/>
          <w:szCs w:val="22"/>
        </w:rPr>
        <w:t xml:space="preserv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a companion document to the 2016 </w:t>
      </w:r>
      <w:r w:rsidRPr="001B1EFC">
        <w:rPr>
          <w:rFonts w:ascii="Calibri" w:eastAsia="Times New Roman" w:hAnsi="Calibri" w:cs="Calibri"/>
          <w:i/>
          <w:snapToGrid w:val="0"/>
          <w:sz w:val="22"/>
          <w:szCs w:val="22"/>
        </w:rPr>
        <w:t>Mathematics Standards of Learning</w:t>
      </w:r>
      <w:r w:rsidRPr="001B1EFC">
        <w:rPr>
          <w:rFonts w:ascii="Calibri" w:eastAsia="Times New Roman" w:hAnsi="Calibri" w:cs="Calibri"/>
          <w:snapToGrid w:val="0"/>
          <w:sz w:val="22"/>
          <w:szCs w:val="22"/>
        </w:rPr>
        <w:t xml:space="preserve">, amplifies the </w:t>
      </w:r>
      <w:r w:rsidRPr="001B1EFC">
        <w:rPr>
          <w:rFonts w:ascii="Calibri" w:eastAsia="Times New Roman" w:hAnsi="Calibri" w:cs="Calibri"/>
          <w:i/>
          <w:snapToGrid w:val="0"/>
          <w:sz w:val="22"/>
          <w:szCs w:val="22"/>
        </w:rPr>
        <w:t xml:space="preserve">Mathematics Standards of Learning </w:t>
      </w:r>
      <w:r w:rsidRPr="001B1EFC">
        <w:rPr>
          <w:rFonts w:ascii="Calibri" w:eastAsia="Times New Roman" w:hAnsi="Calibri" w:cs="Calibri"/>
          <w:snapToGrid w:val="0"/>
          <w:sz w:val="22"/>
          <w:szCs w:val="22"/>
        </w:rPr>
        <w:t xml:space="preserve">and further defines the content knowledge, skills, and understandings that are measured by the Standards of Learning </w:t>
      </w:r>
      <w:r w:rsidRPr="001B1EFC">
        <w:rPr>
          <w:rFonts w:ascii="Calibri" w:eastAsia="Times New Roman" w:hAnsi="Calibri" w:cs="Calibri"/>
          <w:snapToGrid w:val="0"/>
          <w:sz w:val="22"/>
          <w:szCs w:val="22"/>
        </w:rPr>
        <w:lastRenderedPageBreak/>
        <w:t xml:space="preserve">assessments. The standards and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are not intended to encompass the entire curriculum for a given grade level or course.  School divisions are encouraged to incorporate the standards and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into a broader, locally designed curriculum.  The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  </w:t>
      </w:r>
    </w:p>
    <w:p w:rsidR="001B1EFC" w:rsidRPr="001B1EFC" w:rsidRDefault="001B1EFC" w:rsidP="001B1EFC">
      <w:pPr>
        <w:widowControl w:val="0"/>
        <w:spacing w:before="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The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1B1EFC">
        <w:rPr>
          <w:rFonts w:ascii="Calibri" w:eastAsia="Times New Roman" w:hAnsi="Calibri" w:cs="Calibri"/>
          <w:snapToGrid w:val="0"/>
          <w:color w:val="000000"/>
          <w:sz w:val="22"/>
          <w:szCs w:val="22"/>
        </w:rPr>
        <w:t xml:space="preserve"> </w:t>
      </w:r>
      <w:r w:rsidRPr="001B1EFC">
        <w:rPr>
          <w:rFonts w:ascii="Calibri" w:eastAsia="Times New Roman" w:hAnsi="Calibri" w:cs="Calibri"/>
          <w:snapToGrid w:val="0"/>
          <w:sz w:val="22"/>
          <w:szCs w:val="22"/>
        </w:rPr>
        <w:t xml:space="preserve">Assessment items may not and should not be a verbatim reflection of the information presented in the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w:t>
      </w:r>
    </w:p>
    <w:p w:rsidR="001B1EFC" w:rsidRPr="001B1EFC" w:rsidRDefault="001B1EFC" w:rsidP="001B1EFC">
      <w:pPr>
        <w:widowControl w:val="0"/>
        <w:spacing w:before="120"/>
        <w:jc w:val="both"/>
        <w:rPr>
          <w:rFonts w:ascii="Calibri" w:eastAsia="Times New Roman" w:hAnsi="Calibri" w:cs="Calibri"/>
          <w:snapToGrid w:val="0"/>
          <w:sz w:val="22"/>
          <w:szCs w:val="22"/>
        </w:rPr>
      </w:pPr>
      <w:r w:rsidRPr="001B1EFC">
        <w:rPr>
          <w:rFonts w:ascii="Calibri" w:eastAsia="Times New Roman" w:hAnsi="Calibri" w:cs="Calibri"/>
          <w:snapToGrid w:val="0"/>
          <w:color w:val="000000"/>
          <w:sz w:val="22"/>
          <w:szCs w:val="22"/>
        </w:rPr>
        <w:t xml:space="preserve">Each topic in the 2016 </w:t>
      </w:r>
      <w:r w:rsidRPr="001B1EFC">
        <w:rPr>
          <w:rFonts w:ascii="Calibri" w:eastAsia="Times New Roman" w:hAnsi="Calibri" w:cs="Calibri"/>
          <w:i/>
          <w:snapToGrid w:val="0"/>
          <w:sz w:val="22"/>
          <w:szCs w:val="22"/>
        </w:rPr>
        <w:t>Mathematics Standards of Learning</w:t>
      </w:r>
      <w:r w:rsidRPr="001B1EFC">
        <w:rPr>
          <w:rFonts w:ascii="Calibri" w:eastAsia="Times New Roman" w:hAnsi="Calibri" w:cs="Calibri"/>
          <w:snapToGrid w:val="0"/>
          <w:color w:val="000000"/>
          <w:sz w:val="22"/>
          <w:szCs w:val="22"/>
        </w:rPr>
        <w:t xml:space="preserve"> </w:t>
      </w:r>
      <w:r w:rsidRPr="001B1EFC">
        <w:rPr>
          <w:rFonts w:ascii="Calibri" w:eastAsia="Times New Roman" w:hAnsi="Calibri" w:cs="Calibri"/>
          <w:i/>
          <w:snapToGrid w:val="0"/>
          <w:color w:val="000000"/>
          <w:sz w:val="22"/>
          <w:szCs w:val="22"/>
        </w:rPr>
        <w:t>Curriculum Framework</w:t>
      </w:r>
      <w:r w:rsidRPr="001B1EFC">
        <w:rPr>
          <w:rFonts w:ascii="Calibri" w:eastAsia="Times New Roman" w:hAnsi="Calibri" w:cs="Calibri"/>
          <w:snapToGrid w:val="0"/>
          <w:color w:val="000000"/>
          <w:sz w:val="22"/>
          <w:szCs w:val="22"/>
        </w:rPr>
        <w:t xml:space="preserve"> is developed around the Standards of Learning. </w:t>
      </w:r>
      <w:r w:rsidRPr="001B1EFC">
        <w:rPr>
          <w:rFonts w:ascii="Calibri" w:eastAsia="Times New Roman" w:hAnsi="Calibri" w:cs="Calibri"/>
          <w:snapToGrid w:val="0"/>
          <w:sz w:val="22"/>
          <w:szCs w:val="22"/>
        </w:rPr>
        <w:t xml:space="preserve">The format of the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facilitates teacher planning by identifying the key concepts, knowledge, and skills that should be the focus of instruction for each standard. The </w:t>
      </w:r>
      <w:r w:rsidRPr="001B1EFC">
        <w:rPr>
          <w:rFonts w:ascii="Calibri" w:eastAsia="Times New Roman" w:hAnsi="Calibri" w:cs="Calibri"/>
          <w:i/>
          <w:snapToGrid w:val="0"/>
          <w:sz w:val="22"/>
          <w:szCs w:val="22"/>
        </w:rPr>
        <w:t>Curriculum Framework</w:t>
      </w:r>
      <w:r w:rsidRPr="001B1EFC">
        <w:rPr>
          <w:rFonts w:ascii="Calibri" w:eastAsia="Times New Roman" w:hAnsi="Calibri" w:cs="Calibri"/>
          <w:snapToGrid w:val="0"/>
          <w:sz w:val="22"/>
          <w:szCs w:val="22"/>
        </w:rPr>
        <w:t xml:space="preserve"> is divided into two columns: Understanding the Standard and Essential Knowledge and Skills. The purpose of each column is explained below.</w:t>
      </w:r>
    </w:p>
    <w:p w:rsidR="001B1EFC" w:rsidRPr="001B1EFC" w:rsidRDefault="001B1EFC" w:rsidP="001B1EFC">
      <w:pPr>
        <w:widowControl w:val="0"/>
        <w:spacing w:before="120"/>
        <w:jc w:val="both"/>
        <w:rPr>
          <w:rFonts w:ascii="Calibri" w:eastAsia="Times New Roman" w:hAnsi="Calibri" w:cs="Calibri"/>
          <w:i/>
          <w:snapToGrid w:val="0"/>
          <w:sz w:val="22"/>
          <w:szCs w:val="22"/>
        </w:rPr>
      </w:pPr>
      <w:r w:rsidRPr="001B1EFC">
        <w:rPr>
          <w:rFonts w:ascii="Calibri" w:eastAsia="Times New Roman" w:hAnsi="Calibri" w:cs="Calibri"/>
          <w:i/>
          <w:snapToGrid w:val="0"/>
          <w:sz w:val="22"/>
          <w:szCs w:val="22"/>
        </w:rPr>
        <w:t>Understanding the Standard</w:t>
      </w:r>
    </w:p>
    <w:p w:rsidR="001B1EFC" w:rsidRPr="001B1EFC" w:rsidRDefault="001B1EFC" w:rsidP="001B1EFC">
      <w:pPr>
        <w:widowControl w:val="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This section includes mathematical content and key concepts that assist teachers in planning standards-focused instruction. The statements may provide definitions, explanations, examples, and information regarding connections within and between grade level(s)/course(s).</w:t>
      </w:r>
    </w:p>
    <w:p w:rsidR="001B1EFC" w:rsidRPr="001B1EFC" w:rsidRDefault="001B1EFC" w:rsidP="001B1EFC">
      <w:pPr>
        <w:widowControl w:val="0"/>
        <w:spacing w:before="120"/>
        <w:jc w:val="both"/>
        <w:rPr>
          <w:rFonts w:ascii="Calibri" w:eastAsia="Times New Roman" w:hAnsi="Calibri" w:cs="Calibri"/>
          <w:i/>
          <w:snapToGrid w:val="0"/>
          <w:sz w:val="22"/>
          <w:szCs w:val="22"/>
        </w:rPr>
      </w:pPr>
      <w:r w:rsidRPr="001B1EFC">
        <w:rPr>
          <w:rFonts w:ascii="Calibri" w:eastAsia="Times New Roman" w:hAnsi="Calibri" w:cs="Calibri"/>
          <w:i/>
          <w:snapToGrid w:val="0"/>
          <w:sz w:val="22"/>
          <w:szCs w:val="22"/>
        </w:rPr>
        <w:t>Essential Knowledge and Skills</w:t>
      </w:r>
    </w:p>
    <w:p w:rsidR="001B1EFC" w:rsidRPr="001B1EFC" w:rsidRDefault="001B1EFC" w:rsidP="001B1EFC">
      <w:pPr>
        <w:widowControl w:val="0"/>
        <w:jc w:val="both"/>
        <w:rPr>
          <w:rFonts w:ascii="Calibri" w:eastAsia="Times New Roman" w:hAnsi="Calibri" w:cs="Calibri"/>
          <w:snapToGrid w:val="0"/>
          <w:sz w:val="22"/>
          <w:szCs w:val="22"/>
        </w:rPr>
      </w:pPr>
      <w:r w:rsidRPr="001B1EFC">
        <w:rPr>
          <w:rFonts w:ascii="Calibri" w:eastAsia="Times New Roman" w:hAnsi="Calibri" w:cs="Calibri"/>
          <w:snapToGrid w:val="0"/>
          <w:color w:val="000000"/>
          <w:sz w:val="22"/>
          <w:szCs w:val="22"/>
        </w:rPr>
        <w:t xml:space="preserve">This section provides a detailed expansion of the mathematics knowledge and skills that </w:t>
      </w:r>
      <w:r w:rsidRPr="001B1EFC">
        <w:rPr>
          <w:rFonts w:ascii="Calibri" w:eastAsia="Times New Roman" w:hAnsi="Calibri" w:cs="Calibri"/>
          <w:snapToGrid w:val="0"/>
          <w:sz w:val="22"/>
          <w:szCs w:val="22"/>
        </w:rPr>
        <w:t xml:space="preserve">each student should know and be able to demonstrate. This is not meant to be an exhaustive list of student expectations. </w:t>
      </w:r>
    </w:p>
    <w:p w:rsidR="001B1EFC" w:rsidRPr="001B1EFC" w:rsidRDefault="001B1EFC" w:rsidP="001B1EFC">
      <w:pPr>
        <w:widowControl w:val="0"/>
        <w:jc w:val="both"/>
        <w:rPr>
          <w:rFonts w:ascii="Calibri" w:eastAsia="Times New Roman" w:hAnsi="Calibri" w:cs="Calibri"/>
          <w:snapToGrid w:val="0"/>
          <w:sz w:val="22"/>
          <w:szCs w:val="22"/>
        </w:rPr>
      </w:pPr>
    </w:p>
    <w:p w:rsidR="001B1EFC" w:rsidRPr="001B1EFC" w:rsidRDefault="001B1EFC" w:rsidP="001B1EFC">
      <w:pPr>
        <w:pStyle w:val="Heading2"/>
      </w:pPr>
      <w:r w:rsidRPr="001B1EFC">
        <w:t>Mathematical Process Goals for Students</w:t>
      </w:r>
    </w:p>
    <w:p w:rsidR="001B1EFC" w:rsidRPr="001B1EFC" w:rsidRDefault="001B1EFC" w:rsidP="001B1EFC">
      <w:pPr>
        <w:widowControl w:val="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1B1EFC" w:rsidRPr="001B1EFC" w:rsidRDefault="001B1EFC" w:rsidP="001B1EFC">
      <w:pPr>
        <w:pStyle w:val="Heading3"/>
      </w:pPr>
      <w:r w:rsidRPr="001B1EFC">
        <w:t>Mathematical Problem Solving</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1B1EFC" w:rsidRPr="001B1EFC" w:rsidRDefault="001B1EFC" w:rsidP="001B1EFC">
      <w:pPr>
        <w:pStyle w:val="Heading3"/>
        <w:rPr>
          <w:snapToGrid w:val="0"/>
        </w:rPr>
      </w:pPr>
      <w:r w:rsidRPr="001B1EFC">
        <w:rPr>
          <w:snapToGrid w:val="0"/>
        </w:rPr>
        <w:t>Mathematical Communication</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1B1EFC" w:rsidRPr="001B1EFC" w:rsidRDefault="001B1EFC" w:rsidP="001B1EFC">
      <w:pPr>
        <w:pStyle w:val="Heading3"/>
        <w:rPr>
          <w:snapToGrid w:val="0"/>
        </w:rPr>
      </w:pPr>
      <w:r w:rsidRPr="001B1EFC">
        <w:rPr>
          <w:snapToGrid w:val="0"/>
        </w:rPr>
        <w:t>Mathematical Reasoning</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1B1EFC" w:rsidRPr="001B1EFC" w:rsidRDefault="001B1EFC" w:rsidP="001B1EFC">
      <w:pPr>
        <w:pStyle w:val="Heading3"/>
        <w:rPr>
          <w:snapToGrid w:val="0"/>
        </w:rPr>
      </w:pPr>
      <w:r w:rsidRPr="001B1EFC">
        <w:rPr>
          <w:snapToGrid w:val="0"/>
        </w:rPr>
        <w:t>Mathematical Connections</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1B1EFC" w:rsidRPr="001B1EFC" w:rsidRDefault="001B1EFC" w:rsidP="001B1EFC">
      <w:pPr>
        <w:pStyle w:val="Heading3"/>
        <w:rPr>
          <w:snapToGrid w:val="0"/>
        </w:rPr>
      </w:pPr>
      <w:r w:rsidRPr="001B1EFC">
        <w:rPr>
          <w:snapToGrid w:val="0"/>
        </w:rPr>
        <w:t>Mathematical Representations</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1B1EFC" w:rsidRPr="001B1EFC" w:rsidRDefault="001B1EFC" w:rsidP="001B1EFC">
      <w:pPr>
        <w:pStyle w:val="Heading2"/>
        <w:rPr>
          <w:snapToGrid w:val="0"/>
        </w:rPr>
      </w:pPr>
      <w:r w:rsidRPr="001B1EFC">
        <w:rPr>
          <w:snapToGrid w:val="0"/>
        </w:rPr>
        <w:t>Instructional Technology</w:t>
      </w:r>
    </w:p>
    <w:p w:rsidR="001B1EFC" w:rsidRPr="001B1EFC" w:rsidRDefault="001B1EFC" w:rsidP="001B1EFC">
      <w:pPr>
        <w:widowControl w:val="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1B1EFC" w:rsidRPr="001B1EFC" w:rsidRDefault="001B1EFC" w:rsidP="001B1EFC">
      <w:pPr>
        <w:widowControl w:val="0"/>
        <w:spacing w:before="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Calculators and graphing utilities should be used by students for exploring and visualizing number patterns and mathematical relationships, facilitating reasoning and problem solving, and verifying solutions.  However, according to the National Council of Teachers of Mathematics, “… 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three state assessment, all objectives are assessed without the use of a calculator. On the state assessments for grades four through seven, objectives that are assessed without the use of a calculator are indicated with an asterisk (*).  </w:t>
      </w:r>
    </w:p>
    <w:p w:rsidR="001B1EFC" w:rsidRPr="001B1EFC" w:rsidRDefault="001B1EFC" w:rsidP="001B1EFC">
      <w:pPr>
        <w:pStyle w:val="Heading2"/>
        <w:rPr>
          <w:snapToGrid w:val="0"/>
        </w:rPr>
      </w:pPr>
      <w:r w:rsidRPr="001B1EFC">
        <w:rPr>
          <w:snapToGrid w:val="0"/>
        </w:rPr>
        <w:t>Computational Fluency</w:t>
      </w:r>
    </w:p>
    <w:p w:rsidR="001B1EFC" w:rsidRPr="001B1EFC" w:rsidRDefault="001B1EFC" w:rsidP="001B1EFC">
      <w:pPr>
        <w:widowControl w:val="0"/>
        <w:spacing w:before="15" w:after="150"/>
        <w:jc w:val="both"/>
        <w:rPr>
          <w:rFonts w:ascii="Calibri" w:eastAsia="Times New Roman" w:hAnsi="Calibri" w:cs="Calibri"/>
          <w:snapToGrid w:val="0"/>
          <w:sz w:val="22"/>
          <w:szCs w:val="22"/>
        </w:rPr>
      </w:pPr>
      <w:r w:rsidRPr="001B1EFC">
        <w:rPr>
          <w:rFonts w:ascii="Calibri" w:eastAsia="Times New Roman" w:hAnsi="Calibri" w:cs="Calibri"/>
          <w:snapToGrid w:val="0"/>
          <w:color w:val="000000"/>
          <w:sz w:val="22"/>
          <w:szCs w:val="22"/>
        </w:rPr>
        <w:t>M</w:t>
      </w:r>
      <w:r w:rsidRPr="001B1EFC">
        <w:rPr>
          <w:rFonts w:ascii="Calibri" w:eastAsia="Times New Roman" w:hAnsi="Calibri" w:cs="Calibri"/>
          <w:snapToGrid w:val="0"/>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1B1EFC" w:rsidRPr="001B1EFC" w:rsidRDefault="001B1EFC" w:rsidP="001B1EFC">
      <w:pPr>
        <w:widowControl w:val="0"/>
        <w:spacing w:before="15" w:after="15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rsidR="001B1EFC" w:rsidRPr="001B1EFC" w:rsidRDefault="001B1EFC" w:rsidP="001B1EFC">
      <w:pPr>
        <w:widowControl w:val="0"/>
        <w:spacing w:before="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two and those for multiplication and division by the end of grade four.   Students should be encouraged to use computational methods and tools that are appropriate for the context and purpose.</w:t>
      </w:r>
    </w:p>
    <w:p w:rsidR="001B1EFC" w:rsidRPr="001B1EFC" w:rsidRDefault="001B1EFC" w:rsidP="001B1EFC">
      <w:pPr>
        <w:pStyle w:val="Heading2"/>
        <w:rPr>
          <w:snapToGrid w:val="0"/>
        </w:rPr>
      </w:pPr>
      <w:r w:rsidRPr="001B1EFC">
        <w:rPr>
          <w:snapToGrid w:val="0"/>
        </w:rPr>
        <w:t>Algebra Readiness</w:t>
      </w:r>
    </w:p>
    <w:p w:rsidR="001B1EFC" w:rsidRPr="001B1EFC" w:rsidRDefault="001B1EFC" w:rsidP="001B1EFC">
      <w:pPr>
        <w:widowControl w:val="0"/>
        <w:spacing w:before="120" w:after="120"/>
        <w:jc w:val="both"/>
        <w:rPr>
          <w:rFonts w:ascii="Calibri" w:eastAsia="Times New Roman" w:hAnsi="Calibri" w:cs="Calibri"/>
          <w:snapToGrid w:val="0"/>
          <w:sz w:val="22"/>
          <w:szCs w:val="22"/>
        </w:rPr>
      </w:pPr>
      <w:r w:rsidRPr="001B1EFC">
        <w:rPr>
          <w:rFonts w:ascii="Calibri" w:eastAsia="Times New Roman" w:hAnsi="Calibri" w:cs="Calibri"/>
          <w:snapToGrid w:val="0"/>
          <w:sz w:val="22"/>
          <w:szCs w:val="22"/>
        </w:rPr>
        <w:t xml:space="preserve">The successful mastery of Algebra I is widely considered to be the gatekeeper to success in the study of upper-level mathematics. “Algebra readiness” describes the mastery of, and the ability to apply, the </w:t>
      </w:r>
      <w:r w:rsidRPr="001B1EFC">
        <w:rPr>
          <w:rFonts w:ascii="Calibri" w:eastAsia="Times New Roman" w:hAnsi="Calibri" w:cs="Calibri"/>
          <w:i/>
          <w:snapToGrid w:val="0"/>
          <w:sz w:val="22"/>
          <w:szCs w:val="22"/>
        </w:rPr>
        <w:t>Mathematics Standards of Learning</w:t>
      </w:r>
      <w:r w:rsidRPr="001B1EFC">
        <w:rPr>
          <w:rFonts w:ascii="Calibri" w:eastAsia="Times New Roman" w:hAnsi="Calibri" w:cs="Calibri"/>
          <w:snapToGrid w:val="0"/>
          <w:sz w:val="22"/>
          <w:szCs w:val="22"/>
        </w:rPr>
        <w:t xml:space="preserve">, including the Mathematical Process Goals for Students, for kindergarten through grade eight.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1B1EFC">
        <w:rPr>
          <w:rFonts w:ascii="Calibri" w:eastAsia="Times New Roman" w:hAnsi="Calibri" w:cs="Calibri"/>
          <w:i/>
          <w:snapToGrid w:val="0"/>
          <w:sz w:val="22"/>
          <w:szCs w:val="22"/>
        </w:rPr>
        <w:t>Mathematics Standards of Learning</w:t>
      </w:r>
      <w:r w:rsidRPr="001B1EFC">
        <w:rPr>
          <w:rFonts w:ascii="Calibri" w:eastAsia="Times New Roman" w:hAnsi="Calibri" w:cs="Calibri"/>
          <w:snapToGrid w:val="0"/>
          <w:sz w:val="22"/>
          <w:szCs w:val="22"/>
        </w:rPr>
        <w:t xml:space="preserve"> form a progression of content knowledge and develop the reasoning necessary to be well-prepared for mathematics courses beyond Algebra I, including Geometry and Statistics. </w:t>
      </w:r>
    </w:p>
    <w:p w:rsidR="001B1EFC" w:rsidRPr="001B1EFC" w:rsidRDefault="001B1EFC" w:rsidP="001B1EFC">
      <w:pPr>
        <w:pStyle w:val="Heading2"/>
        <w:rPr>
          <w:snapToGrid w:val="0"/>
        </w:rPr>
      </w:pPr>
      <w:r w:rsidRPr="001B1EFC">
        <w:rPr>
          <w:snapToGrid w:val="0"/>
        </w:rPr>
        <w:t>Equity</w:t>
      </w:r>
    </w:p>
    <w:p w:rsidR="001B1EFC" w:rsidRPr="001B1EFC" w:rsidRDefault="001B1EFC" w:rsidP="001B1EFC">
      <w:pPr>
        <w:widowControl w:val="0"/>
        <w:spacing w:before="120" w:after="120"/>
        <w:ind w:left="720" w:right="720"/>
        <w:rPr>
          <w:rFonts w:ascii="Calibri" w:eastAsia="Times New Roman" w:hAnsi="Calibri" w:cs="Calibri"/>
          <w:snapToGrid w:val="0"/>
          <w:sz w:val="22"/>
          <w:szCs w:val="22"/>
          <w:shd w:val="clear" w:color="auto" w:fill="FFFFFF"/>
        </w:rPr>
      </w:pPr>
      <w:r w:rsidRPr="001B1EFC">
        <w:rPr>
          <w:rFonts w:ascii="Calibri" w:eastAsia="Times New Roman" w:hAnsi="Calibri" w:cs="Calibri"/>
          <w:b/>
          <w:bCs/>
          <w:snapToGrid w:val="0"/>
          <w:sz w:val="22"/>
          <w:szCs w:val="22"/>
        </w:rPr>
        <w:t>“</w:t>
      </w:r>
      <w:r w:rsidRPr="001B1EFC">
        <w:rPr>
          <w:rFonts w:ascii="Calibri" w:eastAsia="Times New Roman" w:hAnsi="Calibri" w:cs="Calibri"/>
          <w:snapToGrid w:val="0"/>
          <w:sz w:val="22"/>
          <w:szCs w:val="22"/>
          <w:shd w:val="clear" w:color="auto" w:fill="FFFFFF"/>
        </w:rPr>
        <w:t>Addressing equity and access includes both ensuring that all students attain mathematics proficiency and increasing the numbers of students from all racial, ethnic, linguistic, gender, and socioeconomic groups who attain the highest levels of mathematics achievement.”</w:t>
      </w:r>
    </w:p>
    <w:p w:rsidR="001B1EFC" w:rsidRPr="001B1EFC" w:rsidRDefault="001B1EFC" w:rsidP="001B1EFC">
      <w:pPr>
        <w:widowControl w:val="0"/>
        <w:spacing w:before="120" w:after="120"/>
        <w:ind w:left="720" w:right="720"/>
        <w:rPr>
          <w:rFonts w:ascii="Calibri" w:eastAsia="Times New Roman" w:hAnsi="Calibri" w:cs="Calibri"/>
          <w:snapToGrid w:val="0"/>
          <w:sz w:val="22"/>
          <w:szCs w:val="22"/>
          <w:shd w:val="clear" w:color="auto" w:fill="FFFFFF"/>
        </w:rPr>
      </w:pPr>
      <w:r w:rsidRPr="001B1EFC">
        <w:rPr>
          <w:rFonts w:ascii="Calibri" w:eastAsia="Times New Roman" w:hAnsi="Calibri" w:cs="Calibri"/>
          <w:snapToGrid w:val="0"/>
          <w:sz w:val="22"/>
          <w:szCs w:val="22"/>
          <w:shd w:val="clear" w:color="auto" w:fill="FFFFFF"/>
        </w:rPr>
        <w:t xml:space="preserve"> – National Council of Teachers of Mathematics</w:t>
      </w:r>
    </w:p>
    <w:p w:rsidR="001B1EFC" w:rsidRPr="001B1EFC" w:rsidRDefault="001B1EFC" w:rsidP="001B1EFC">
      <w:pPr>
        <w:widowControl w:val="0"/>
        <w:spacing w:before="120"/>
        <w:jc w:val="both"/>
        <w:rPr>
          <w:rFonts w:ascii="Calibri" w:eastAsia="Times New Roman" w:hAnsi="Calibri" w:cs="Calibri"/>
          <w:bCs/>
          <w:snapToGrid w:val="0"/>
          <w:color w:val="000000"/>
          <w:sz w:val="22"/>
          <w:szCs w:val="22"/>
        </w:rPr>
      </w:pPr>
      <w:r w:rsidRPr="001B1EFC">
        <w:rPr>
          <w:rFonts w:ascii="Calibri" w:eastAsia="Times New Roman" w:hAnsi="Calibri" w:cs="Calibri"/>
          <w:bCs/>
          <w:snapToGrid w:val="0"/>
          <w:color w:val="000000"/>
          <w:sz w:val="22"/>
          <w:szCs w:val="22"/>
        </w:rPr>
        <w:t>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w:t>
      </w:r>
    </w:p>
    <w:p w:rsidR="001B1EFC" w:rsidRPr="001B1EFC" w:rsidRDefault="001B1EFC" w:rsidP="001B1EFC">
      <w:pPr>
        <w:widowControl w:val="0"/>
        <w:spacing w:before="120"/>
        <w:jc w:val="both"/>
        <w:rPr>
          <w:rFonts w:ascii="Calibri" w:eastAsia="Calibri" w:hAnsi="Calibri" w:cs="Calibri"/>
          <w:snapToGrid w:val="0"/>
          <w:sz w:val="22"/>
          <w:szCs w:val="22"/>
        </w:rPr>
      </w:pPr>
      <w:r w:rsidRPr="001B1EFC">
        <w:rPr>
          <w:rFonts w:ascii="Calibri" w:eastAsia="Calibri" w:hAnsi="Calibri" w:cs="Calibri"/>
          <w:bCs/>
          <w:snapToGrid w:val="0"/>
          <w:color w:val="000000"/>
          <w:sz w:val="22"/>
          <w:szCs w:val="22"/>
        </w:rPr>
        <w:t>Student engagement is an essential component of equity in mathematics teaching and learning.  Mathematics instructional strategies that require students to think critically, to reason, to develop problem-solving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1B1EFC" w:rsidRPr="001B1EFC" w:rsidRDefault="001B1EFC" w:rsidP="001B1EFC">
      <w:pPr>
        <w:widowControl w:val="0"/>
        <w:spacing w:before="120" w:after="120"/>
        <w:jc w:val="both"/>
        <w:rPr>
          <w:rFonts w:ascii="Calibri" w:eastAsia="Times New Roman" w:hAnsi="Calibri" w:cs="Calibri"/>
          <w:snapToGrid w:val="0"/>
          <w:sz w:val="22"/>
          <w:szCs w:val="22"/>
        </w:rPr>
      </w:pPr>
    </w:p>
    <w:p w:rsidR="001B1EFC" w:rsidRPr="001B1EFC" w:rsidRDefault="001B1EFC" w:rsidP="001B1EFC">
      <w:pPr>
        <w:pStyle w:val="Heading2"/>
      </w:pPr>
      <w:r w:rsidRPr="001B1EFC">
        <w:t xml:space="preserve">Strand: </w:t>
      </w:r>
      <w:r w:rsidR="003E657A">
        <w:rPr>
          <w:rFonts w:asciiTheme="minorHAnsi" w:hAnsiTheme="minorHAnsi"/>
        </w:rPr>
        <w:t>Triangular and Circular Trigonometric Function</w:t>
      </w:r>
      <w:r w:rsidR="0053126E">
        <w:t>s</w:t>
      </w:r>
    </w:p>
    <w:p w:rsidR="001B1EFC" w:rsidRPr="001B1EFC" w:rsidRDefault="003E657A" w:rsidP="001B1EFC">
      <w:pPr>
        <w:pStyle w:val="Heading3"/>
      </w:pPr>
      <w:r>
        <w:t>T.1</w:t>
      </w:r>
      <w:r>
        <w:tab/>
      </w:r>
      <w:r w:rsidRPr="004E71EB">
        <w:t>The student, given a point on the terminal side of an angle in standard position, or the value of the trigonometric function of the angle, will determine the sine, cosine, tangent, cotangent, secant, and cosecant of the angle</w:t>
      </w:r>
      <w:r w:rsidR="001B1EFC" w:rsidRPr="001B1EFC">
        <w:t xml:space="preserve">. </w:t>
      </w:r>
    </w:p>
    <w:p w:rsidR="001B1EFC" w:rsidRDefault="001B1EFC" w:rsidP="001B1EFC">
      <w:pPr>
        <w:pStyle w:val="Heading4"/>
      </w:pPr>
      <w:r w:rsidRPr="001B1EFC">
        <w:t>Understanding the Standard</w:t>
      </w:r>
    </w:p>
    <w:p w:rsidR="003E657A" w:rsidRPr="00387A7E" w:rsidRDefault="003E657A" w:rsidP="00DF06BA">
      <w:pPr>
        <w:pStyle w:val="ColumnBullet"/>
        <w:numPr>
          <w:ilvl w:val="0"/>
          <w:numId w:val="16"/>
        </w:numPr>
        <w:spacing w:before="120" w:after="120"/>
        <w:rPr>
          <w:rFonts w:asciiTheme="minorHAnsi" w:hAnsiTheme="minorHAnsi"/>
          <w:sz w:val="22"/>
          <w:szCs w:val="22"/>
        </w:rPr>
      </w:pPr>
      <w:r w:rsidRPr="00387A7E">
        <w:rPr>
          <w:rFonts w:asciiTheme="minorHAnsi" w:hAnsiTheme="minorHAnsi"/>
          <w:sz w:val="22"/>
          <w:szCs w:val="22"/>
        </w:rPr>
        <w:t>Triangular trigonometric function definitions are related to circular trigonometric function definitions.</w:t>
      </w:r>
    </w:p>
    <w:p w:rsidR="003E657A" w:rsidRPr="00387A7E" w:rsidRDefault="003E657A" w:rsidP="00DF06BA">
      <w:pPr>
        <w:pStyle w:val="ColumnBullet"/>
        <w:numPr>
          <w:ilvl w:val="0"/>
          <w:numId w:val="16"/>
        </w:numPr>
        <w:spacing w:after="120"/>
        <w:rPr>
          <w:rFonts w:asciiTheme="minorHAnsi" w:hAnsiTheme="minorHAnsi"/>
          <w:sz w:val="22"/>
          <w:szCs w:val="22"/>
        </w:rPr>
      </w:pPr>
      <w:r w:rsidRPr="00387A7E">
        <w:rPr>
          <w:rFonts w:asciiTheme="minorHAnsi" w:hAnsiTheme="minorHAnsi"/>
          <w:sz w:val="22"/>
          <w:szCs w:val="22"/>
        </w:rPr>
        <w:t>Both degrees and radians are units for measuring angles.</w:t>
      </w:r>
    </w:p>
    <w:p w:rsidR="003E657A" w:rsidRPr="00387A7E" w:rsidRDefault="003E657A" w:rsidP="00DF06BA">
      <w:pPr>
        <w:pStyle w:val="ColumnBullet"/>
        <w:numPr>
          <w:ilvl w:val="0"/>
          <w:numId w:val="16"/>
        </w:numPr>
        <w:spacing w:after="120"/>
        <w:rPr>
          <w:rFonts w:asciiTheme="minorHAnsi" w:hAnsiTheme="minorHAnsi"/>
          <w:sz w:val="22"/>
          <w:szCs w:val="22"/>
        </w:rPr>
      </w:pPr>
      <w:r w:rsidRPr="00387A7E">
        <w:rPr>
          <w:rFonts w:asciiTheme="minorHAnsi" w:hAnsiTheme="minorHAnsi"/>
          <w:sz w:val="22"/>
          <w:szCs w:val="22"/>
        </w:rPr>
        <w:t>Drawing an angle in standard position will force the terminal side to lie in a specific quadrant or axis.</w:t>
      </w:r>
    </w:p>
    <w:p w:rsidR="003E657A" w:rsidRPr="00387A7E" w:rsidRDefault="003E657A" w:rsidP="00DF06BA">
      <w:pPr>
        <w:pStyle w:val="ColumnBullet"/>
        <w:numPr>
          <w:ilvl w:val="0"/>
          <w:numId w:val="16"/>
        </w:numPr>
        <w:spacing w:after="120"/>
        <w:rPr>
          <w:rFonts w:asciiTheme="minorHAnsi" w:hAnsiTheme="minorHAnsi"/>
          <w:sz w:val="22"/>
          <w:szCs w:val="22"/>
        </w:rPr>
      </w:pPr>
      <w:r w:rsidRPr="00387A7E">
        <w:rPr>
          <w:rFonts w:asciiTheme="minorHAnsi" w:hAnsiTheme="minorHAnsi"/>
          <w:sz w:val="22"/>
          <w:szCs w:val="22"/>
        </w:rPr>
        <w:t>A point on the terminal side of an angle determines a reference triangle from which the values of the six trigonometric functions may be derived.</w:t>
      </w:r>
    </w:p>
    <w:p w:rsidR="001B1EFC" w:rsidRDefault="003E657A" w:rsidP="00DF06BA">
      <w:pPr>
        <w:pStyle w:val="ListParagraph"/>
        <w:numPr>
          <w:ilvl w:val="0"/>
          <w:numId w:val="16"/>
        </w:numPr>
        <w:rPr>
          <w:rFonts w:asciiTheme="minorHAnsi" w:hAnsiTheme="minorHAnsi" w:cstheme="minorHAnsi"/>
          <w:sz w:val="22"/>
        </w:rPr>
      </w:pPr>
      <w:r w:rsidRPr="00387A7E">
        <w:rPr>
          <w:rFonts w:asciiTheme="minorHAnsi" w:hAnsiTheme="minorHAnsi"/>
          <w:sz w:val="22"/>
          <w:szCs w:val="22"/>
        </w:rPr>
        <w:t>If one trigonometric function value is known, then a triangle can be formed to use in determining the other five trigonometric function values</w:t>
      </w:r>
      <w:r w:rsidR="001B1EFC" w:rsidRPr="001B1EFC">
        <w:rPr>
          <w:rFonts w:asciiTheme="minorHAnsi" w:hAnsiTheme="minorHAnsi" w:cstheme="minorHAnsi"/>
          <w:sz w:val="22"/>
        </w:rPr>
        <w:t>.</w:t>
      </w:r>
    </w:p>
    <w:p w:rsidR="001B1EFC" w:rsidRDefault="001B1EFC" w:rsidP="001B1EFC">
      <w:pPr>
        <w:pStyle w:val="Heading4"/>
      </w:pPr>
      <w:r>
        <w:t>Essential Knowledge and Skills</w:t>
      </w:r>
    </w:p>
    <w:p w:rsidR="001B1EFC" w:rsidRPr="003E75CD" w:rsidRDefault="001B1EFC" w:rsidP="001B1EFC">
      <w:pPr>
        <w:pStyle w:val="BodyTextIndent2"/>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3E657A" w:rsidRPr="00387A7E" w:rsidRDefault="003E657A" w:rsidP="003E657A">
      <w:pPr>
        <w:pStyle w:val="ColumnBullet"/>
        <w:tabs>
          <w:tab w:val="clear" w:pos="360"/>
        </w:tabs>
        <w:spacing w:after="120"/>
        <w:ind w:left="537"/>
        <w:rPr>
          <w:rFonts w:asciiTheme="minorHAnsi" w:hAnsiTheme="minorHAnsi"/>
          <w:sz w:val="22"/>
          <w:szCs w:val="22"/>
        </w:rPr>
      </w:pPr>
      <w:r w:rsidRPr="00387A7E">
        <w:rPr>
          <w:rFonts w:asciiTheme="minorHAnsi" w:hAnsiTheme="minorHAnsi"/>
          <w:sz w:val="22"/>
          <w:szCs w:val="22"/>
        </w:rPr>
        <w:t>Define the six triangular trigonometric functions of an angle in a right triangle.</w:t>
      </w:r>
    </w:p>
    <w:p w:rsidR="003E657A" w:rsidRPr="00387A7E" w:rsidRDefault="003E657A" w:rsidP="003E657A">
      <w:pPr>
        <w:pStyle w:val="ColumnBullet"/>
        <w:tabs>
          <w:tab w:val="clear" w:pos="360"/>
          <w:tab w:val="num" w:pos="522"/>
        </w:tabs>
        <w:spacing w:after="120"/>
        <w:ind w:left="522"/>
        <w:rPr>
          <w:rFonts w:asciiTheme="minorHAnsi" w:hAnsiTheme="minorHAnsi"/>
          <w:sz w:val="22"/>
          <w:szCs w:val="22"/>
        </w:rPr>
      </w:pPr>
      <w:r w:rsidRPr="00387A7E">
        <w:rPr>
          <w:rFonts w:asciiTheme="minorHAnsi" w:hAnsiTheme="minorHAnsi"/>
          <w:sz w:val="22"/>
          <w:szCs w:val="22"/>
        </w:rPr>
        <w:t>Draw a reference right triangle when given a point on the terminal side of the angle in standard position.</w:t>
      </w:r>
    </w:p>
    <w:p w:rsidR="003E657A" w:rsidRPr="00387A7E" w:rsidRDefault="003E657A" w:rsidP="003E657A">
      <w:pPr>
        <w:pStyle w:val="ColumnBullet"/>
        <w:tabs>
          <w:tab w:val="clear" w:pos="360"/>
          <w:tab w:val="num" w:pos="522"/>
        </w:tabs>
        <w:spacing w:after="120"/>
        <w:ind w:left="522"/>
        <w:rPr>
          <w:rFonts w:asciiTheme="minorHAnsi" w:hAnsiTheme="minorHAnsi"/>
          <w:sz w:val="22"/>
          <w:szCs w:val="22"/>
        </w:rPr>
      </w:pPr>
      <w:r w:rsidRPr="00387A7E">
        <w:rPr>
          <w:rFonts w:asciiTheme="minorHAnsi" w:hAnsiTheme="minorHAnsi"/>
          <w:sz w:val="22"/>
          <w:szCs w:val="22"/>
        </w:rPr>
        <w:t xml:space="preserve">Draw a reference right triangle when given the value of a trigonometric function of the angle.  </w:t>
      </w:r>
    </w:p>
    <w:p w:rsidR="003E657A" w:rsidRPr="00387A7E" w:rsidRDefault="003E657A" w:rsidP="003E657A">
      <w:pPr>
        <w:pStyle w:val="ColumnBullet"/>
        <w:tabs>
          <w:tab w:val="clear" w:pos="360"/>
          <w:tab w:val="num" w:pos="522"/>
        </w:tabs>
        <w:spacing w:after="120"/>
        <w:ind w:left="522"/>
        <w:rPr>
          <w:rFonts w:asciiTheme="minorHAnsi" w:hAnsiTheme="minorHAnsi"/>
          <w:sz w:val="22"/>
          <w:szCs w:val="22"/>
        </w:rPr>
      </w:pPr>
      <w:r w:rsidRPr="00387A7E">
        <w:rPr>
          <w:rFonts w:asciiTheme="minorHAnsi" w:hAnsiTheme="minorHAnsi"/>
          <w:sz w:val="22"/>
          <w:szCs w:val="22"/>
        </w:rPr>
        <w:t xml:space="preserve">Determine the value of any trigonometric function when given a point on the terminal side of </w:t>
      </w:r>
      <w:r>
        <w:rPr>
          <w:rFonts w:asciiTheme="minorHAnsi" w:hAnsiTheme="minorHAnsi"/>
          <w:sz w:val="22"/>
          <w:szCs w:val="22"/>
        </w:rPr>
        <w:t xml:space="preserve">an angle in standard position. </w:t>
      </w:r>
    </w:p>
    <w:p w:rsidR="001B1EFC" w:rsidRPr="001B1EFC" w:rsidRDefault="003E657A" w:rsidP="003E657A">
      <w:pPr>
        <w:pStyle w:val="ColumnBullet"/>
        <w:tabs>
          <w:tab w:val="clear" w:pos="360"/>
        </w:tabs>
        <w:spacing w:after="120"/>
        <w:ind w:left="533"/>
        <w:rPr>
          <w:rFonts w:asciiTheme="minorHAnsi" w:hAnsiTheme="minorHAnsi" w:cstheme="minorHAnsi"/>
          <w:sz w:val="22"/>
        </w:rPr>
      </w:pPr>
      <w:r w:rsidRPr="00387A7E">
        <w:rPr>
          <w:rFonts w:asciiTheme="minorHAnsi" w:hAnsiTheme="minorHAnsi"/>
          <w:sz w:val="22"/>
          <w:szCs w:val="22"/>
        </w:rPr>
        <w:t xml:space="preserve">Given one trigonometric function value, determine the other five </w:t>
      </w:r>
      <w:r>
        <w:rPr>
          <w:rFonts w:asciiTheme="minorHAnsi" w:hAnsiTheme="minorHAnsi"/>
          <w:sz w:val="22"/>
          <w:szCs w:val="22"/>
        </w:rPr>
        <w:t>trigonometric function values</w:t>
      </w:r>
      <w:r w:rsidR="001B1EFC" w:rsidRPr="001B1EFC">
        <w:rPr>
          <w:rFonts w:asciiTheme="minorHAnsi" w:hAnsiTheme="minorHAnsi"/>
          <w:sz w:val="22"/>
          <w:szCs w:val="22"/>
        </w:rPr>
        <w:t>.</w:t>
      </w:r>
    </w:p>
    <w:p w:rsidR="001B1EFC" w:rsidRDefault="001B1EFC" w:rsidP="008952EB">
      <w:pPr>
        <w:rPr>
          <w:rFonts w:asciiTheme="minorHAnsi" w:hAnsiTheme="minorHAnsi"/>
        </w:rPr>
      </w:pPr>
    </w:p>
    <w:p w:rsidR="001D32FF" w:rsidRDefault="003E657A" w:rsidP="001D32FF">
      <w:pPr>
        <w:pStyle w:val="Heading3"/>
      </w:pPr>
      <w:r>
        <w:t>T.2</w:t>
      </w:r>
      <w:r>
        <w:tab/>
      </w:r>
      <w:r w:rsidRPr="004E71EB">
        <w:t>The student will develop and apply the properties of the unit circle</w:t>
      </w:r>
      <w:r>
        <w:t xml:space="preserve"> in degrees and radians</w:t>
      </w:r>
      <w:r w:rsidR="001D32FF" w:rsidRPr="00D150D7">
        <w:t>.</w:t>
      </w:r>
    </w:p>
    <w:p w:rsidR="001D32FF" w:rsidRDefault="001D32FF" w:rsidP="001D32FF">
      <w:pPr>
        <w:pStyle w:val="Heading4"/>
      </w:pPr>
      <w:r w:rsidRPr="001B1EFC">
        <w:t>Understanding the Standard</w:t>
      </w:r>
    </w:p>
    <w:p w:rsidR="003E657A" w:rsidRPr="003512D9" w:rsidRDefault="003E657A" w:rsidP="00DF06BA">
      <w:pPr>
        <w:pStyle w:val="ColumnBullet"/>
        <w:numPr>
          <w:ilvl w:val="0"/>
          <w:numId w:val="17"/>
        </w:numPr>
        <w:spacing w:before="120" w:after="120"/>
        <w:rPr>
          <w:rFonts w:asciiTheme="minorHAnsi" w:hAnsiTheme="minorHAnsi"/>
          <w:sz w:val="22"/>
          <w:szCs w:val="22"/>
        </w:rPr>
      </w:pPr>
      <w:r w:rsidRPr="003512D9">
        <w:rPr>
          <w:rFonts w:asciiTheme="minorHAnsi" w:hAnsiTheme="minorHAnsi"/>
          <w:sz w:val="22"/>
          <w:szCs w:val="22"/>
        </w:rPr>
        <w:t>Triangular trigonometric function definitions are related to circular trigonometric function definitions.</w:t>
      </w:r>
    </w:p>
    <w:p w:rsidR="003E657A" w:rsidRPr="003512D9" w:rsidRDefault="003E657A" w:rsidP="00DF06BA">
      <w:pPr>
        <w:pStyle w:val="ColumnBullet"/>
        <w:numPr>
          <w:ilvl w:val="0"/>
          <w:numId w:val="17"/>
        </w:numPr>
        <w:spacing w:after="120"/>
        <w:rPr>
          <w:rFonts w:asciiTheme="minorHAnsi" w:hAnsiTheme="minorHAnsi"/>
          <w:sz w:val="22"/>
          <w:szCs w:val="22"/>
        </w:rPr>
      </w:pPr>
      <w:r w:rsidRPr="003512D9">
        <w:rPr>
          <w:rFonts w:asciiTheme="minorHAnsi" w:hAnsiTheme="minorHAnsi"/>
          <w:sz w:val="22"/>
          <w:szCs w:val="22"/>
        </w:rPr>
        <w:t>Knowledge of the unit circle is a useful tool for determining all six trigonometric values for special angles (30</w:t>
      </w:r>
      <w:r w:rsidRPr="003512D9">
        <w:rPr>
          <w:rFonts w:asciiTheme="minorHAnsi" w:hAnsiTheme="minorHAnsi"/>
          <w:sz w:val="22"/>
          <w:szCs w:val="22"/>
        </w:rPr>
        <w:sym w:font="Symbol" w:char="F0B0"/>
      </w:r>
      <w:r w:rsidRPr="003512D9">
        <w:rPr>
          <w:rFonts w:asciiTheme="minorHAnsi" w:hAnsiTheme="minorHAnsi"/>
          <w:sz w:val="22"/>
          <w:szCs w:val="22"/>
        </w:rPr>
        <w:t>, 45</w:t>
      </w:r>
      <w:r w:rsidRPr="003512D9">
        <w:rPr>
          <w:rFonts w:asciiTheme="minorHAnsi" w:hAnsiTheme="minorHAnsi"/>
          <w:sz w:val="22"/>
          <w:szCs w:val="22"/>
        </w:rPr>
        <w:sym w:font="Symbol" w:char="F0B0"/>
      </w:r>
      <w:r w:rsidRPr="003512D9">
        <w:rPr>
          <w:rFonts w:asciiTheme="minorHAnsi" w:hAnsiTheme="minorHAnsi"/>
          <w:sz w:val="22"/>
          <w:szCs w:val="22"/>
        </w:rPr>
        <w:t>, 60</w:t>
      </w:r>
      <w:r w:rsidRPr="003512D9">
        <w:rPr>
          <w:rFonts w:asciiTheme="minorHAnsi" w:hAnsiTheme="minorHAnsi"/>
          <w:sz w:val="22"/>
          <w:szCs w:val="22"/>
        </w:rPr>
        <w:sym w:font="Symbol" w:char="F0B0"/>
      </w:r>
      <w:r w:rsidRPr="003512D9">
        <w:rPr>
          <w:rFonts w:asciiTheme="minorHAnsi" w:hAnsiTheme="minorHAnsi"/>
          <w:sz w:val="22"/>
          <w:szCs w:val="22"/>
        </w:rPr>
        <w:t>, and 90</w:t>
      </w:r>
      <w:r w:rsidRPr="003512D9">
        <w:rPr>
          <w:rFonts w:asciiTheme="minorHAnsi" w:hAnsiTheme="minorHAnsi"/>
          <w:sz w:val="22"/>
          <w:szCs w:val="22"/>
        </w:rPr>
        <w:sym w:font="Symbol" w:char="F0B0"/>
      </w:r>
      <w:r w:rsidRPr="003512D9">
        <w:rPr>
          <w:rFonts w:asciiTheme="minorHAnsi" w:hAnsiTheme="minorHAnsi"/>
          <w:sz w:val="22"/>
          <w:szCs w:val="22"/>
        </w:rPr>
        <w:t>).</w:t>
      </w:r>
    </w:p>
    <w:p w:rsidR="003E657A" w:rsidRPr="003512D9" w:rsidRDefault="003E657A" w:rsidP="00DF06BA">
      <w:pPr>
        <w:pStyle w:val="ColumnBullet"/>
        <w:numPr>
          <w:ilvl w:val="0"/>
          <w:numId w:val="17"/>
        </w:numPr>
        <w:spacing w:after="120"/>
        <w:rPr>
          <w:rFonts w:asciiTheme="minorHAnsi" w:hAnsiTheme="minorHAnsi"/>
          <w:sz w:val="22"/>
          <w:szCs w:val="22"/>
        </w:rPr>
      </w:pPr>
      <w:r w:rsidRPr="003512D9">
        <w:rPr>
          <w:rFonts w:asciiTheme="minorHAnsi" w:hAnsiTheme="minorHAnsi"/>
          <w:sz w:val="22"/>
          <w:szCs w:val="22"/>
        </w:rPr>
        <w:t>The relationships between the angle measures and side lengths of special right triangles (30</w:t>
      </w:r>
      <w:r w:rsidRPr="003512D9">
        <w:rPr>
          <w:rFonts w:asciiTheme="minorHAnsi" w:hAnsiTheme="minorHAnsi"/>
          <w:sz w:val="22"/>
          <w:szCs w:val="22"/>
        </w:rPr>
        <w:sym w:font="Symbol" w:char="F0B0"/>
      </w:r>
      <w:r w:rsidRPr="003512D9">
        <w:rPr>
          <w:rFonts w:asciiTheme="minorHAnsi" w:hAnsiTheme="minorHAnsi"/>
          <w:sz w:val="22"/>
          <w:szCs w:val="22"/>
        </w:rPr>
        <w:t>-60</w:t>
      </w:r>
      <w:r w:rsidRPr="003512D9">
        <w:rPr>
          <w:rFonts w:asciiTheme="minorHAnsi" w:hAnsiTheme="minorHAnsi"/>
          <w:sz w:val="22"/>
          <w:szCs w:val="22"/>
        </w:rPr>
        <w:sym w:font="Symbol" w:char="F0B0"/>
      </w:r>
      <w:r w:rsidRPr="003512D9">
        <w:rPr>
          <w:rFonts w:asciiTheme="minorHAnsi" w:hAnsiTheme="minorHAnsi"/>
          <w:sz w:val="22"/>
          <w:szCs w:val="22"/>
        </w:rPr>
        <w:t>-90</w:t>
      </w:r>
      <w:r w:rsidRPr="003512D9">
        <w:rPr>
          <w:rFonts w:asciiTheme="minorHAnsi" w:hAnsiTheme="minorHAnsi"/>
          <w:sz w:val="22"/>
          <w:szCs w:val="22"/>
        </w:rPr>
        <w:sym w:font="Symbol" w:char="F0B0"/>
      </w:r>
      <w:r w:rsidRPr="003512D9">
        <w:rPr>
          <w:rFonts w:asciiTheme="minorHAnsi" w:hAnsiTheme="minorHAnsi"/>
          <w:sz w:val="22"/>
          <w:szCs w:val="22"/>
        </w:rPr>
        <w:t xml:space="preserve"> and 45</w:t>
      </w:r>
      <w:r w:rsidRPr="003512D9">
        <w:rPr>
          <w:rFonts w:asciiTheme="minorHAnsi" w:hAnsiTheme="minorHAnsi"/>
          <w:sz w:val="22"/>
          <w:szCs w:val="22"/>
        </w:rPr>
        <w:sym w:font="Symbol" w:char="F0B0"/>
      </w:r>
      <w:r w:rsidRPr="003512D9">
        <w:rPr>
          <w:rFonts w:asciiTheme="minorHAnsi" w:hAnsiTheme="minorHAnsi"/>
          <w:sz w:val="22"/>
          <w:szCs w:val="22"/>
        </w:rPr>
        <w:t>-45</w:t>
      </w:r>
      <w:r w:rsidRPr="003512D9">
        <w:rPr>
          <w:rFonts w:asciiTheme="minorHAnsi" w:hAnsiTheme="minorHAnsi"/>
          <w:sz w:val="22"/>
          <w:szCs w:val="22"/>
        </w:rPr>
        <w:sym w:font="Symbol" w:char="F0B0"/>
      </w:r>
      <w:r w:rsidRPr="003512D9">
        <w:rPr>
          <w:rFonts w:asciiTheme="minorHAnsi" w:hAnsiTheme="minorHAnsi"/>
          <w:sz w:val="22"/>
          <w:szCs w:val="22"/>
        </w:rPr>
        <w:t>-90</w:t>
      </w:r>
      <w:r w:rsidRPr="003512D9">
        <w:rPr>
          <w:rFonts w:asciiTheme="minorHAnsi" w:hAnsiTheme="minorHAnsi"/>
          <w:sz w:val="22"/>
          <w:szCs w:val="22"/>
        </w:rPr>
        <w:sym w:font="Symbol" w:char="F0B0"/>
      </w:r>
      <w:r w:rsidRPr="003512D9">
        <w:rPr>
          <w:rFonts w:asciiTheme="minorHAnsi" w:hAnsiTheme="minorHAnsi"/>
          <w:sz w:val="22"/>
          <w:szCs w:val="22"/>
        </w:rPr>
        <w:t>) are widely used in mathematics.</w:t>
      </w:r>
    </w:p>
    <w:p w:rsidR="003E657A" w:rsidRPr="003512D9" w:rsidRDefault="003E657A" w:rsidP="00DF06BA">
      <w:pPr>
        <w:pStyle w:val="ColumnBullet"/>
        <w:numPr>
          <w:ilvl w:val="0"/>
          <w:numId w:val="17"/>
        </w:numPr>
        <w:spacing w:after="120"/>
        <w:rPr>
          <w:rFonts w:asciiTheme="minorHAnsi" w:hAnsiTheme="minorHAnsi"/>
          <w:sz w:val="22"/>
          <w:szCs w:val="22"/>
        </w:rPr>
      </w:pPr>
      <w:r w:rsidRPr="003512D9">
        <w:rPr>
          <w:rFonts w:asciiTheme="minorHAnsi" w:hAnsiTheme="minorHAnsi"/>
          <w:sz w:val="22"/>
          <w:szCs w:val="22"/>
        </w:rPr>
        <w:t>Special right triangles may be used to develop the unit circle.</w:t>
      </w:r>
    </w:p>
    <w:p w:rsidR="003E657A" w:rsidRPr="003512D9" w:rsidRDefault="003E657A" w:rsidP="00DF06BA">
      <w:pPr>
        <w:pStyle w:val="ColumnBullet"/>
        <w:numPr>
          <w:ilvl w:val="0"/>
          <w:numId w:val="17"/>
        </w:numPr>
        <w:spacing w:after="120"/>
        <w:rPr>
          <w:rFonts w:asciiTheme="minorHAnsi" w:hAnsiTheme="minorHAnsi"/>
          <w:sz w:val="22"/>
          <w:szCs w:val="22"/>
        </w:rPr>
      </w:pPr>
      <w:r w:rsidRPr="003512D9">
        <w:rPr>
          <w:rFonts w:asciiTheme="minorHAnsi" w:hAnsiTheme="minorHAnsi"/>
          <w:sz w:val="22"/>
          <w:szCs w:val="22"/>
        </w:rPr>
        <w:t xml:space="preserve">Unit circle properties will allow special angle and related angle trigonometric values to be found without the aid of a </w:t>
      </w:r>
      <w:r>
        <w:rPr>
          <w:rFonts w:asciiTheme="minorHAnsi" w:hAnsiTheme="minorHAnsi"/>
          <w:sz w:val="22"/>
          <w:szCs w:val="22"/>
        </w:rPr>
        <w:t>graphing utility</w:t>
      </w:r>
      <w:r w:rsidRPr="003512D9">
        <w:rPr>
          <w:rFonts w:asciiTheme="minorHAnsi" w:hAnsiTheme="minorHAnsi"/>
          <w:sz w:val="22"/>
          <w:szCs w:val="22"/>
        </w:rPr>
        <w:t>.</w:t>
      </w:r>
    </w:p>
    <w:p w:rsidR="003E657A" w:rsidRPr="003512D9" w:rsidRDefault="003E657A" w:rsidP="00DF06BA">
      <w:pPr>
        <w:pStyle w:val="ColumnBullet"/>
        <w:numPr>
          <w:ilvl w:val="0"/>
          <w:numId w:val="17"/>
        </w:numPr>
        <w:spacing w:after="120"/>
        <w:rPr>
          <w:rFonts w:asciiTheme="minorHAnsi" w:hAnsiTheme="minorHAnsi"/>
          <w:sz w:val="22"/>
          <w:szCs w:val="22"/>
        </w:rPr>
      </w:pPr>
      <w:r w:rsidRPr="003512D9">
        <w:rPr>
          <w:rFonts w:asciiTheme="minorHAnsi" w:hAnsiTheme="minorHAnsi"/>
          <w:sz w:val="22"/>
          <w:szCs w:val="22"/>
        </w:rPr>
        <w:t>Degrees and radians are units of angle measure.</w:t>
      </w:r>
    </w:p>
    <w:p w:rsidR="003E657A" w:rsidRDefault="003E657A" w:rsidP="00DF06BA">
      <w:pPr>
        <w:pStyle w:val="ColumnBullet"/>
        <w:numPr>
          <w:ilvl w:val="0"/>
          <w:numId w:val="17"/>
        </w:numPr>
        <w:spacing w:after="120"/>
        <w:rPr>
          <w:rFonts w:asciiTheme="minorHAnsi" w:hAnsiTheme="minorHAnsi"/>
          <w:sz w:val="22"/>
          <w:szCs w:val="22"/>
        </w:rPr>
      </w:pPr>
      <w:r w:rsidRPr="003512D9">
        <w:rPr>
          <w:rFonts w:asciiTheme="minorHAnsi" w:hAnsiTheme="minorHAnsi"/>
          <w:sz w:val="22"/>
          <w:szCs w:val="22"/>
        </w:rPr>
        <w:t>A radian is the measure of the central angle that is determined by an arc whose length is the same as the radius of the circle.</w:t>
      </w:r>
    </w:p>
    <w:p w:rsidR="001D32FF" w:rsidRPr="003E657A" w:rsidRDefault="003E657A" w:rsidP="00DF06BA">
      <w:pPr>
        <w:pStyle w:val="ColumnBullet"/>
        <w:numPr>
          <w:ilvl w:val="0"/>
          <w:numId w:val="17"/>
        </w:numPr>
        <w:spacing w:after="120"/>
        <w:rPr>
          <w:rFonts w:asciiTheme="minorHAnsi" w:hAnsiTheme="minorHAnsi"/>
          <w:sz w:val="22"/>
          <w:szCs w:val="22"/>
        </w:rPr>
      </w:pPr>
      <w:r w:rsidRPr="003E657A">
        <w:rPr>
          <w:rFonts w:asciiTheme="minorHAnsi" w:hAnsiTheme="minorHAnsi"/>
          <w:sz w:val="22"/>
          <w:szCs w:val="22"/>
        </w:rPr>
        <w:t>There is a connection between sides and angles of special right triangles, the unit circle, and the coordinate plane</w:t>
      </w:r>
      <w:r w:rsidR="001D32FF" w:rsidRPr="003E657A">
        <w:rPr>
          <w:rFonts w:asciiTheme="minorHAnsi" w:hAnsiTheme="minorHAnsi" w:cstheme="minorHAnsi"/>
          <w:sz w:val="22"/>
        </w:rPr>
        <w:t>.</w:t>
      </w:r>
    </w:p>
    <w:p w:rsidR="001D32FF" w:rsidRDefault="001D32FF" w:rsidP="001D32FF">
      <w:pPr>
        <w:pStyle w:val="Heading4"/>
      </w:pPr>
      <w:r>
        <w:t>Essential Knowledge and Skills</w:t>
      </w:r>
    </w:p>
    <w:p w:rsidR="001D32FF" w:rsidRPr="003E75CD" w:rsidRDefault="001D32FF" w:rsidP="001D32FF">
      <w:pPr>
        <w:pStyle w:val="BodyTextIndent2"/>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3E657A" w:rsidRPr="003512D9" w:rsidRDefault="003E657A" w:rsidP="003E657A">
      <w:pPr>
        <w:pStyle w:val="ColumnBullet"/>
        <w:tabs>
          <w:tab w:val="clear" w:pos="360"/>
          <w:tab w:val="num" w:pos="522"/>
        </w:tabs>
        <w:spacing w:after="120"/>
        <w:ind w:left="522"/>
        <w:rPr>
          <w:rFonts w:asciiTheme="minorHAnsi" w:hAnsiTheme="minorHAnsi"/>
          <w:sz w:val="22"/>
          <w:szCs w:val="22"/>
        </w:rPr>
      </w:pPr>
      <w:r w:rsidRPr="003512D9">
        <w:rPr>
          <w:rFonts w:asciiTheme="minorHAnsi" w:hAnsiTheme="minorHAnsi"/>
          <w:sz w:val="22"/>
          <w:szCs w:val="22"/>
        </w:rPr>
        <w:t xml:space="preserve">Define the six circular trigonometric functions of an angle in standard position. </w:t>
      </w:r>
    </w:p>
    <w:p w:rsidR="003E657A" w:rsidRPr="003512D9" w:rsidRDefault="003E657A" w:rsidP="003E657A">
      <w:pPr>
        <w:pStyle w:val="ColumnBullet"/>
        <w:tabs>
          <w:tab w:val="clear" w:pos="360"/>
          <w:tab w:val="num" w:pos="522"/>
        </w:tabs>
        <w:spacing w:after="120"/>
        <w:ind w:left="522"/>
        <w:rPr>
          <w:rFonts w:asciiTheme="minorHAnsi" w:hAnsiTheme="minorHAnsi"/>
          <w:sz w:val="22"/>
          <w:szCs w:val="22"/>
        </w:rPr>
      </w:pPr>
      <w:r w:rsidRPr="003512D9">
        <w:rPr>
          <w:rFonts w:asciiTheme="minorHAnsi" w:hAnsiTheme="minorHAnsi"/>
          <w:sz w:val="22"/>
          <w:szCs w:val="22"/>
        </w:rPr>
        <w:t xml:space="preserve">Apply the properties of the unit circle to determine trigonometric function values of special angles and their related angles in both degrees and radians without using a </w:t>
      </w:r>
      <w:r>
        <w:rPr>
          <w:rFonts w:asciiTheme="minorHAnsi" w:hAnsiTheme="minorHAnsi"/>
          <w:sz w:val="22"/>
          <w:szCs w:val="22"/>
        </w:rPr>
        <w:t>graphing utility</w:t>
      </w:r>
      <w:r w:rsidRPr="003512D9">
        <w:rPr>
          <w:rFonts w:asciiTheme="minorHAnsi" w:hAnsiTheme="minorHAnsi"/>
          <w:sz w:val="22"/>
          <w:szCs w:val="22"/>
        </w:rPr>
        <w:t xml:space="preserve">. </w:t>
      </w:r>
    </w:p>
    <w:p w:rsidR="001D32FF" w:rsidRPr="003E75CD" w:rsidRDefault="003E657A" w:rsidP="003E657A">
      <w:pPr>
        <w:pStyle w:val="ColumnBullet"/>
        <w:tabs>
          <w:tab w:val="clear" w:pos="360"/>
        </w:tabs>
        <w:spacing w:before="120" w:after="120"/>
        <w:ind w:left="533"/>
        <w:rPr>
          <w:rFonts w:asciiTheme="minorHAnsi" w:hAnsiTheme="minorHAnsi"/>
          <w:sz w:val="22"/>
          <w:szCs w:val="22"/>
        </w:rPr>
      </w:pPr>
      <w:r w:rsidRPr="003512D9">
        <w:rPr>
          <w:rFonts w:asciiTheme="minorHAnsi" w:hAnsiTheme="minorHAnsi"/>
          <w:sz w:val="22"/>
          <w:szCs w:val="22"/>
        </w:rPr>
        <w:t xml:space="preserve">Apply the properties of the unit circle to convert between special angles expressed in radians and degrees, without using a </w:t>
      </w:r>
      <w:r>
        <w:rPr>
          <w:rFonts w:asciiTheme="minorHAnsi" w:hAnsiTheme="minorHAnsi"/>
          <w:sz w:val="22"/>
          <w:szCs w:val="22"/>
        </w:rPr>
        <w:t>graphing utility</w:t>
      </w:r>
      <w:r w:rsidR="001D32FF" w:rsidRPr="003E75CD">
        <w:rPr>
          <w:rFonts w:asciiTheme="minorHAnsi" w:hAnsiTheme="minorHAnsi"/>
          <w:sz w:val="22"/>
          <w:szCs w:val="22"/>
        </w:rPr>
        <w:t>.</w:t>
      </w:r>
    </w:p>
    <w:p w:rsidR="001D32FF" w:rsidRDefault="001D32FF" w:rsidP="001D32FF">
      <w:pPr>
        <w:rPr>
          <w:rFonts w:asciiTheme="minorHAnsi" w:hAnsiTheme="minorHAnsi" w:cstheme="minorHAnsi"/>
          <w:sz w:val="22"/>
        </w:rPr>
      </w:pPr>
    </w:p>
    <w:p w:rsidR="003E657A" w:rsidRPr="004E71EB" w:rsidRDefault="003E657A" w:rsidP="00DF06BA">
      <w:pPr>
        <w:pStyle w:val="Heading3"/>
      </w:pPr>
      <w:r w:rsidRPr="00B172E1">
        <w:t>T.</w:t>
      </w:r>
      <w:r>
        <w:t>3</w:t>
      </w:r>
      <w:r>
        <w:tab/>
      </w:r>
      <w:r w:rsidRPr="004E71EB">
        <w:t>The student, given one of the six trigonometric functions in standard form, will</w:t>
      </w:r>
    </w:p>
    <w:p w:rsidR="003E657A" w:rsidRPr="004E71EB" w:rsidRDefault="003E657A" w:rsidP="00DF06BA">
      <w:pPr>
        <w:pStyle w:val="Heading3"/>
        <w:numPr>
          <w:ilvl w:val="0"/>
          <w:numId w:val="20"/>
        </w:numPr>
      </w:pPr>
      <w:proofErr w:type="gramStart"/>
      <w:r w:rsidRPr="004E71EB">
        <w:t>state</w:t>
      </w:r>
      <w:proofErr w:type="gramEnd"/>
      <w:r w:rsidRPr="004E71EB">
        <w:t xml:space="preserve"> the domain and the range of the function;</w:t>
      </w:r>
    </w:p>
    <w:p w:rsidR="003E657A" w:rsidRPr="004E71EB" w:rsidRDefault="003E657A" w:rsidP="00DF06BA">
      <w:pPr>
        <w:pStyle w:val="Heading3"/>
        <w:numPr>
          <w:ilvl w:val="0"/>
          <w:numId w:val="20"/>
        </w:numPr>
      </w:pPr>
      <w:proofErr w:type="gramStart"/>
      <w:r w:rsidRPr="004E71EB">
        <w:t>determine</w:t>
      </w:r>
      <w:proofErr w:type="gramEnd"/>
      <w:r w:rsidRPr="004E71EB">
        <w:t xml:space="preserve"> the amplitude, period, phase shift, vertical shift, and asymptotes;</w:t>
      </w:r>
    </w:p>
    <w:p w:rsidR="003E657A" w:rsidRDefault="003E657A" w:rsidP="00DF06BA">
      <w:pPr>
        <w:pStyle w:val="Heading3"/>
        <w:numPr>
          <w:ilvl w:val="0"/>
          <w:numId w:val="20"/>
        </w:numPr>
      </w:pPr>
      <w:proofErr w:type="gramStart"/>
      <w:r w:rsidRPr="004E71EB">
        <w:t>sketch</w:t>
      </w:r>
      <w:proofErr w:type="gramEnd"/>
      <w:r w:rsidRPr="004E71EB">
        <w:t xml:space="preserve"> the graph of the function by using transformations for at least a two-period interval; and</w:t>
      </w:r>
    </w:p>
    <w:p w:rsidR="001D32FF" w:rsidRPr="003E657A" w:rsidRDefault="003E657A" w:rsidP="00DF06BA">
      <w:pPr>
        <w:pStyle w:val="Heading3"/>
        <w:numPr>
          <w:ilvl w:val="0"/>
          <w:numId w:val="20"/>
        </w:numPr>
      </w:pPr>
      <w:proofErr w:type="gramStart"/>
      <w:r w:rsidRPr="004E71EB">
        <w:t>investigate</w:t>
      </w:r>
      <w:proofErr w:type="gramEnd"/>
      <w:r w:rsidRPr="004E71EB">
        <w:t xml:space="preserve"> the effect of changing the parameters in a trigonometric function on the graph of the function</w:t>
      </w:r>
      <w:r w:rsidR="001D32FF" w:rsidRPr="00D150D7">
        <w:t>.</w:t>
      </w:r>
    </w:p>
    <w:p w:rsidR="001D32FF" w:rsidRDefault="001D32FF" w:rsidP="001D32FF">
      <w:pPr>
        <w:pStyle w:val="Heading4"/>
      </w:pPr>
      <w:r w:rsidRPr="001B1EFC">
        <w:t>Understanding the Standard</w:t>
      </w:r>
    </w:p>
    <w:p w:rsidR="003E657A" w:rsidRPr="003512D9" w:rsidRDefault="003E657A" w:rsidP="003E657A">
      <w:pPr>
        <w:pStyle w:val="ColumnBullet"/>
        <w:tabs>
          <w:tab w:val="clear" w:pos="360"/>
        </w:tabs>
        <w:spacing w:before="120" w:after="120"/>
        <w:ind w:left="533"/>
        <w:rPr>
          <w:rFonts w:asciiTheme="minorHAnsi" w:hAnsiTheme="minorHAnsi"/>
          <w:sz w:val="22"/>
          <w:szCs w:val="22"/>
        </w:rPr>
      </w:pPr>
      <w:r w:rsidRPr="003512D9">
        <w:rPr>
          <w:rFonts w:asciiTheme="minorHAnsi" w:hAnsiTheme="minorHAnsi"/>
          <w:sz w:val="22"/>
          <w:szCs w:val="22"/>
        </w:rPr>
        <w:t>The domain and range of a trigonometric function determine the scales of the axes for the graph of the trigonometric function.</w:t>
      </w:r>
    </w:p>
    <w:p w:rsidR="003E657A" w:rsidRPr="003512D9" w:rsidRDefault="003E657A" w:rsidP="003E657A">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The amplitude, period, phase shift, and vertical shift are important characteristics of the graph of a trigonometric function, and each has a specific purpose in applications using trigonometric equations.</w:t>
      </w:r>
    </w:p>
    <w:p w:rsidR="003E657A" w:rsidRPr="003512D9" w:rsidRDefault="003E657A" w:rsidP="003E657A">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The graph of a trigonometric function can be used to display information about the periodic behavior of a real-world situation, such as wave motion or the motion of a Ferris wheel.</w:t>
      </w:r>
    </w:p>
    <w:p w:rsidR="001D32FF" w:rsidRPr="001D32FF" w:rsidRDefault="003E657A" w:rsidP="003E657A">
      <w:pPr>
        <w:pStyle w:val="ColumnBullet"/>
        <w:tabs>
          <w:tab w:val="clear" w:pos="360"/>
        </w:tabs>
        <w:spacing w:after="120"/>
        <w:ind w:left="533"/>
        <w:rPr>
          <w:rFonts w:asciiTheme="minorHAnsi" w:hAnsiTheme="minorHAnsi" w:cstheme="minorHAnsi"/>
          <w:sz w:val="22"/>
        </w:rPr>
      </w:pPr>
      <w:r w:rsidRPr="003512D9">
        <w:rPr>
          <w:rFonts w:asciiTheme="minorHAnsi" w:hAnsiTheme="minorHAnsi"/>
          <w:sz w:val="22"/>
          <w:szCs w:val="22"/>
        </w:rPr>
        <w:t xml:space="preserve">Standard form of the trigonometric functions may be written in multiple ways </w:t>
      </w:r>
      <w:r>
        <w:rPr>
          <w:rFonts w:asciiTheme="minorHAnsi" w:hAnsiTheme="minorHAnsi"/>
          <w:sz w:val="22"/>
          <w:szCs w:val="22"/>
        </w:rPr>
        <w:t>(</w:t>
      </w:r>
      <w:r w:rsidRPr="003512D9">
        <w:rPr>
          <w:rFonts w:asciiTheme="minorHAnsi" w:hAnsiTheme="minorHAnsi"/>
          <w:sz w:val="22"/>
          <w:szCs w:val="22"/>
        </w:rPr>
        <w:t xml:space="preserve">e.g., </w:t>
      </w:r>
      <w:r w:rsidRPr="003512D9">
        <w:rPr>
          <w:rFonts w:asciiTheme="minorHAnsi" w:hAnsiTheme="minorHAnsi"/>
          <w:i/>
          <w:sz w:val="22"/>
          <w:szCs w:val="22"/>
        </w:rPr>
        <w:t>y</w:t>
      </w:r>
      <w:r w:rsidRPr="003512D9">
        <w:rPr>
          <w:rFonts w:asciiTheme="minorHAnsi" w:hAnsiTheme="minorHAnsi"/>
          <w:sz w:val="22"/>
          <w:szCs w:val="22"/>
        </w:rPr>
        <w:t xml:space="preserve"> = </w:t>
      </w:r>
      <w:r w:rsidRPr="003512D9">
        <w:rPr>
          <w:rFonts w:asciiTheme="minorHAnsi" w:hAnsiTheme="minorHAnsi"/>
          <w:i/>
          <w:sz w:val="22"/>
          <w:szCs w:val="22"/>
        </w:rPr>
        <w:t>A</w:t>
      </w:r>
      <w:r w:rsidRPr="003512D9">
        <w:rPr>
          <w:rFonts w:asciiTheme="minorHAnsi" w:hAnsiTheme="minorHAnsi"/>
          <w:sz w:val="22"/>
          <w:szCs w:val="22"/>
        </w:rPr>
        <w:t xml:space="preserve"> sin (</w:t>
      </w:r>
      <w:proofErr w:type="spellStart"/>
      <w:r w:rsidRPr="003512D9">
        <w:rPr>
          <w:rFonts w:asciiTheme="minorHAnsi" w:hAnsiTheme="minorHAnsi"/>
          <w:i/>
          <w:sz w:val="22"/>
          <w:szCs w:val="22"/>
        </w:rPr>
        <w:t>Bx</w:t>
      </w:r>
      <w:proofErr w:type="spellEnd"/>
      <w:r w:rsidRPr="003512D9">
        <w:rPr>
          <w:rFonts w:asciiTheme="minorHAnsi" w:hAnsiTheme="minorHAnsi"/>
          <w:sz w:val="22"/>
          <w:szCs w:val="22"/>
        </w:rPr>
        <w:t xml:space="preserve"> + </w:t>
      </w:r>
      <w:r w:rsidRPr="003512D9">
        <w:rPr>
          <w:rFonts w:asciiTheme="minorHAnsi" w:hAnsiTheme="minorHAnsi"/>
          <w:i/>
          <w:sz w:val="22"/>
          <w:szCs w:val="22"/>
        </w:rPr>
        <w:t>C</w:t>
      </w:r>
      <w:r w:rsidRPr="003512D9">
        <w:rPr>
          <w:rFonts w:asciiTheme="minorHAnsi" w:hAnsiTheme="minorHAnsi"/>
          <w:sz w:val="22"/>
          <w:szCs w:val="22"/>
        </w:rPr>
        <w:t xml:space="preserve">) + </w:t>
      </w:r>
      <w:r w:rsidRPr="003512D9">
        <w:rPr>
          <w:rFonts w:asciiTheme="minorHAnsi" w:hAnsiTheme="minorHAnsi"/>
          <w:i/>
          <w:sz w:val="22"/>
          <w:szCs w:val="22"/>
        </w:rPr>
        <w:t xml:space="preserve">D </w:t>
      </w:r>
      <w:r w:rsidRPr="003512D9">
        <w:rPr>
          <w:rFonts w:asciiTheme="minorHAnsi" w:hAnsiTheme="minorHAnsi"/>
          <w:sz w:val="22"/>
          <w:szCs w:val="22"/>
        </w:rPr>
        <w:t xml:space="preserve">or </w:t>
      </w:r>
      <w:r w:rsidRPr="003512D9">
        <w:rPr>
          <w:rFonts w:asciiTheme="minorHAnsi" w:hAnsiTheme="minorHAnsi"/>
          <w:i/>
          <w:sz w:val="22"/>
          <w:szCs w:val="22"/>
        </w:rPr>
        <w:t>y</w:t>
      </w:r>
      <w:r w:rsidRPr="003512D9">
        <w:rPr>
          <w:rFonts w:asciiTheme="minorHAnsi" w:hAnsiTheme="minorHAnsi"/>
          <w:sz w:val="22"/>
          <w:szCs w:val="22"/>
        </w:rPr>
        <w:t xml:space="preserve"> = </w:t>
      </w:r>
      <w:r w:rsidRPr="003512D9">
        <w:rPr>
          <w:rFonts w:asciiTheme="minorHAnsi" w:hAnsiTheme="minorHAnsi"/>
          <w:i/>
          <w:sz w:val="22"/>
          <w:szCs w:val="22"/>
        </w:rPr>
        <w:t>A</w:t>
      </w:r>
      <w:r w:rsidRPr="003512D9">
        <w:rPr>
          <w:rFonts w:asciiTheme="minorHAnsi" w:hAnsiTheme="minorHAnsi"/>
          <w:sz w:val="22"/>
          <w:szCs w:val="22"/>
        </w:rPr>
        <w:t xml:space="preserve"> sin [</w:t>
      </w:r>
      <w:r w:rsidRPr="003512D9">
        <w:rPr>
          <w:rFonts w:asciiTheme="minorHAnsi" w:hAnsiTheme="minorHAnsi"/>
          <w:i/>
          <w:sz w:val="22"/>
          <w:szCs w:val="22"/>
        </w:rPr>
        <w:t>B</w:t>
      </w:r>
      <w:r w:rsidRPr="003512D9">
        <w:rPr>
          <w:rFonts w:asciiTheme="minorHAnsi" w:hAnsiTheme="minorHAnsi"/>
          <w:sz w:val="22"/>
          <w:szCs w:val="22"/>
        </w:rPr>
        <w:t>(</w:t>
      </w:r>
      <w:r w:rsidRPr="003512D9">
        <w:rPr>
          <w:rFonts w:asciiTheme="minorHAnsi" w:hAnsiTheme="minorHAnsi"/>
          <w:i/>
          <w:sz w:val="22"/>
          <w:szCs w:val="22"/>
        </w:rPr>
        <w:t>x</w:t>
      </w:r>
      <w:r w:rsidRPr="003512D9">
        <w:rPr>
          <w:rFonts w:asciiTheme="minorHAnsi" w:hAnsiTheme="minorHAnsi"/>
          <w:sz w:val="22"/>
          <w:szCs w:val="22"/>
        </w:rPr>
        <w:t xml:space="preserve"> + </w:t>
      </w:r>
      <w:r w:rsidRPr="003512D9">
        <w:rPr>
          <w:rFonts w:asciiTheme="minorHAnsi" w:hAnsiTheme="minorHAnsi"/>
          <w:i/>
          <w:sz w:val="22"/>
          <w:szCs w:val="22"/>
        </w:rPr>
        <w:t>C</w:t>
      </w:r>
      <w:r w:rsidRPr="003512D9">
        <w:rPr>
          <w:rFonts w:asciiTheme="minorHAnsi" w:hAnsiTheme="minorHAnsi"/>
          <w:sz w:val="22"/>
          <w:szCs w:val="22"/>
        </w:rPr>
        <w:t xml:space="preserve">)] + </w:t>
      </w:r>
      <w:r w:rsidRPr="003512D9">
        <w:rPr>
          <w:rFonts w:asciiTheme="minorHAnsi" w:hAnsiTheme="minorHAnsi"/>
          <w:i/>
          <w:sz w:val="22"/>
          <w:szCs w:val="22"/>
        </w:rPr>
        <w:t>D</w:t>
      </w:r>
      <w:r>
        <w:rPr>
          <w:rFonts w:asciiTheme="minorHAnsi" w:hAnsiTheme="minorHAnsi"/>
          <w:sz w:val="22"/>
          <w:szCs w:val="22"/>
        </w:rPr>
        <w:t>)</w:t>
      </w:r>
      <w:r w:rsidR="001D32FF" w:rsidRPr="001D32FF">
        <w:rPr>
          <w:rFonts w:asciiTheme="minorHAnsi" w:hAnsiTheme="minorHAnsi"/>
          <w:sz w:val="22"/>
          <w:szCs w:val="22"/>
        </w:rPr>
        <w:t>.</w:t>
      </w:r>
    </w:p>
    <w:p w:rsidR="001D32FF" w:rsidRDefault="001D32FF" w:rsidP="001D32FF">
      <w:pPr>
        <w:pStyle w:val="Heading4"/>
      </w:pPr>
      <w:r>
        <w:t>Essential Knowledge and Skills</w:t>
      </w:r>
    </w:p>
    <w:p w:rsidR="001D32FF" w:rsidRPr="00E9050B" w:rsidRDefault="001D32FF" w:rsidP="001D32FF">
      <w:pPr>
        <w:pStyle w:val="BodyTextIndent2"/>
        <w:ind w:left="173"/>
        <w:rPr>
          <w:rFonts w:asciiTheme="minorHAnsi" w:hAnsiTheme="minorHAnsi"/>
          <w:sz w:val="22"/>
          <w:szCs w:val="22"/>
        </w:rPr>
      </w:pPr>
      <w:r w:rsidRPr="00E9050B">
        <w:rPr>
          <w:rFonts w:asciiTheme="minorHAnsi" w:hAnsiTheme="minorHAnsi"/>
          <w:sz w:val="22"/>
          <w:szCs w:val="22"/>
        </w:rPr>
        <w:t>The student will use problem solving, mathematical communication, mathematical reasoning, connections, and representations to</w:t>
      </w:r>
    </w:p>
    <w:p w:rsidR="003E657A" w:rsidRPr="003512D9" w:rsidRDefault="003E657A" w:rsidP="00DF06BA">
      <w:pPr>
        <w:pStyle w:val="ColumnBullet"/>
        <w:numPr>
          <w:ilvl w:val="0"/>
          <w:numId w:val="18"/>
        </w:numPr>
        <w:spacing w:after="120"/>
        <w:ind w:left="518"/>
        <w:rPr>
          <w:rFonts w:asciiTheme="minorHAnsi" w:hAnsiTheme="minorHAnsi"/>
          <w:sz w:val="22"/>
          <w:szCs w:val="22"/>
        </w:rPr>
      </w:pPr>
      <w:r w:rsidRPr="003512D9">
        <w:rPr>
          <w:rFonts w:asciiTheme="minorHAnsi" w:hAnsiTheme="minorHAnsi"/>
          <w:sz w:val="22"/>
          <w:szCs w:val="22"/>
        </w:rPr>
        <w:t xml:space="preserve">State the domain and the range of a trigonometric function written in standard form. </w:t>
      </w:r>
      <w:r>
        <w:rPr>
          <w:rFonts w:asciiTheme="minorHAnsi" w:hAnsiTheme="minorHAnsi"/>
          <w:sz w:val="22"/>
          <w:szCs w:val="22"/>
        </w:rPr>
        <w:t>(a)</w:t>
      </w:r>
    </w:p>
    <w:p w:rsidR="003E657A" w:rsidRPr="003512D9" w:rsidRDefault="003E657A" w:rsidP="003E657A">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Determine the amplitude, period, phase shift, vertical shift, and asymptotes of a trigonometric function from the equation of the function and from the graph of the function.</w:t>
      </w:r>
      <w:r>
        <w:rPr>
          <w:rFonts w:asciiTheme="minorHAnsi" w:hAnsiTheme="minorHAnsi"/>
          <w:sz w:val="22"/>
          <w:szCs w:val="22"/>
        </w:rPr>
        <w:t xml:space="preserve"> (b)</w:t>
      </w:r>
    </w:p>
    <w:p w:rsidR="003E657A" w:rsidRPr="003512D9" w:rsidRDefault="003E657A" w:rsidP="003E657A">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 xml:space="preserve">Describe the effect of changing </w:t>
      </w:r>
      <w:r w:rsidRPr="003512D9">
        <w:rPr>
          <w:rFonts w:asciiTheme="minorHAnsi" w:hAnsiTheme="minorHAnsi"/>
          <w:i/>
          <w:sz w:val="22"/>
          <w:szCs w:val="22"/>
        </w:rPr>
        <w:t>A</w:t>
      </w:r>
      <w:r w:rsidRPr="003512D9">
        <w:rPr>
          <w:rFonts w:asciiTheme="minorHAnsi" w:hAnsiTheme="minorHAnsi"/>
          <w:sz w:val="22"/>
          <w:szCs w:val="22"/>
        </w:rPr>
        <w:t xml:space="preserve">, </w:t>
      </w:r>
      <w:r w:rsidRPr="003512D9">
        <w:rPr>
          <w:rFonts w:asciiTheme="minorHAnsi" w:hAnsiTheme="minorHAnsi"/>
          <w:i/>
          <w:sz w:val="22"/>
          <w:szCs w:val="22"/>
        </w:rPr>
        <w:t>B</w:t>
      </w:r>
      <w:r w:rsidRPr="003512D9">
        <w:rPr>
          <w:rFonts w:asciiTheme="minorHAnsi" w:hAnsiTheme="minorHAnsi"/>
          <w:sz w:val="22"/>
          <w:szCs w:val="22"/>
        </w:rPr>
        <w:t xml:space="preserve">, </w:t>
      </w:r>
      <w:r w:rsidRPr="003512D9">
        <w:rPr>
          <w:rFonts w:asciiTheme="minorHAnsi" w:hAnsiTheme="minorHAnsi"/>
          <w:i/>
          <w:sz w:val="22"/>
          <w:szCs w:val="22"/>
        </w:rPr>
        <w:t>C</w:t>
      </w:r>
      <w:r w:rsidRPr="003512D9">
        <w:rPr>
          <w:rFonts w:asciiTheme="minorHAnsi" w:hAnsiTheme="minorHAnsi"/>
          <w:sz w:val="22"/>
          <w:szCs w:val="22"/>
        </w:rPr>
        <w:t xml:space="preserve">, or </w:t>
      </w:r>
      <w:r w:rsidRPr="003512D9">
        <w:rPr>
          <w:rFonts w:asciiTheme="minorHAnsi" w:hAnsiTheme="minorHAnsi"/>
          <w:i/>
          <w:sz w:val="22"/>
          <w:szCs w:val="22"/>
        </w:rPr>
        <w:t>D</w:t>
      </w:r>
      <w:r w:rsidRPr="003512D9">
        <w:rPr>
          <w:rFonts w:asciiTheme="minorHAnsi" w:hAnsiTheme="minorHAnsi"/>
          <w:sz w:val="22"/>
          <w:szCs w:val="22"/>
        </w:rPr>
        <w:t xml:space="preserve"> in the standard form of a trigonometric equation. </w:t>
      </w:r>
      <w:r>
        <w:rPr>
          <w:rFonts w:asciiTheme="minorHAnsi" w:hAnsiTheme="minorHAnsi"/>
          <w:sz w:val="22"/>
          <w:szCs w:val="22"/>
        </w:rPr>
        <w:t>(d)</w:t>
      </w:r>
    </w:p>
    <w:p w:rsidR="001D32FF" w:rsidRDefault="003E657A" w:rsidP="003E657A">
      <w:pPr>
        <w:pStyle w:val="ColumnBullet"/>
        <w:tabs>
          <w:tab w:val="clear" w:pos="360"/>
        </w:tabs>
        <w:spacing w:after="120"/>
        <w:ind w:left="533"/>
        <w:rPr>
          <w:rFonts w:asciiTheme="minorHAnsi" w:hAnsiTheme="minorHAnsi"/>
          <w:sz w:val="22"/>
          <w:szCs w:val="22"/>
        </w:rPr>
      </w:pPr>
      <w:r w:rsidRPr="003512D9">
        <w:rPr>
          <w:rFonts w:asciiTheme="minorHAnsi" w:hAnsiTheme="minorHAnsi"/>
          <w:sz w:val="22"/>
          <w:szCs w:val="22"/>
        </w:rPr>
        <w:t xml:space="preserve">Sketch the graph of a function written in standard form by using transformations for at least a two-period interval, including both positive and negative values for the domain. </w:t>
      </w:r>
      <w:r>
        <w:rPr>
          <w:rFonts w:asciiTheme="minorHAnsi" w:hAnsiTheme="minorHAnsi"/>
          <w:sz w:val="22"/>
          <w:szCs w:val="22"/>
        </w:rPr>
        <w:t>(c)</w:t>
      </w:r>
    </w:p>
    <w:p w:rsidR="001D32FF" w:rsidRPr="00D150D7" w:rsidRDefault="003E657A" w:rsidP="001D32FF">
      <w:pPr>
        <w:pStyle w:val="Heading3"/>
        <w:rPr>
          <w:caps/>
        </w:rPr>
      </w:pPr>
      <w:r w:rsidRPr="00B172E1">
        <w:t>T.</w:t>
      </w:r>
      <w:r>
        <w:t>4</w:t>
      </w:r>
      <w:r>
        <w:tab/>
      </w:r>
      <w:r w:rsidRPr="004E71EB">
        <w:t>The student will graph the six inverse trigonometric functions</w:t>
      </w:r>
      <w:r w:rsidR="001D32FF" w:rsidRPr="00D150D7">
        <w:t xml:space="preserve">. </w:t>
      </w:r>
    </w:p>
    <w:p w:rsidR="001D32FF" w:rsidRDefault="001D32FF" w:rsidP="001D32FF">
      <w:pPr>
        <w:pStyle w:val="Heading4"/>
      </w:pPr>
      <w:r w:rsidRPr="001B1EFC">
        <w:t>Understanding the Standard</w:t>
      </w:r>
    </w:p>
    <w:p w:rsidR="001D32FF" w:rsidRPr="001D32FF" w:rsidRDefault="003E657A" w:rsidP="001D32FF">
      <w:pPr>
        <w:pStyle w:val="ColumnBullet"/>
        <w:tabs>
          <w:tab w:val="clear" w:pos="360"/>
        </w:tabs>
        <w:ind w:left="630" w:hanging="450"/>
        <w:rPr>
          <w:rFonts w:asciiTheme="minorHAnsi" w:hAnsiTheme="minorHAnsi" w:cstheme="minorHAnsi"/>
          <w:sz w:val="22"/>
        </w:rPr>
      </w:pPr>
      <w:r w:rsidRPr="003512D9">
        <w:rPr>
          <w:rFonts w:asciiTheme="minorHAnsi" w:hAnsiTheme="minorHAnsi"/>
          <w:sz w:val="22"/>
          <w:szCs w:val="22"/>
        </w:rPr>
        <w:t>Trigonometric functions are not invertible, because they are periodic.  Domain restrictions on trigonometric functions are necessary in order to determine the inverse trigonometric function</w:t>
      </w:r>
      <w:r w:rsidR="001D32FF" w:rsidRPr="001D32FF">
        <w:rPr>
          <w:rFonts w:asciiTheme="minorHAnsi" w:hAnsiTheme="minorHAnsi" w:cstheme="minorHAnsi"/>
          <w:sz w:val="22"/>
        </w:rPr>
        <w:t>.</w:t>
      </w:r>
    </w:p>
    <w:p w:rsidR="001D32FF" w:rsidRDefault="001D32FF" w:rsidP="001D32FF">
      <w:pPr>
        <w:pStyle w:val="Heading4"/>
      </w:pPr>
      <w:r>
        <w:t>Essential Knowledge and Skills</w:t>
      </w:r>
    </w:p>
    <w:p w:rsidR="003E657A" w:rsidRPr="003512D9" w:rsidRDefault="003E657A" w:rsidP="003E657A">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Determine the domain and range of the inverse trigonometric functions.</w:t>
      </w:r>
    </w:p>
    <w:p w:rsidR="003E657A" w:rsidRPr="003512D9" w:rsidRDefault="003E657A" w:rsidP="003E657A">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Use the restrictions on the domains of the inverse trigonometric functions in determining the values of the inverse trigonometric functions.</w:t>
      </w:r>
    </w:p>
    <w:p w:rsidR="00D32C84" w:rsidRPr="00D32C84" w:rsidRDefault="003E657A" w:rsidP="003E657A">
      <w:pPr>
        <w:pStyle w:val="ColumnBullet"/>
        <w:tabs>
          <w:tab w:val="clear" w:pos="360"/>
          <w:tab w:val="num" w:pos="540"/>
        </w:tabs>
        <w:spacing w:after="120"/>
        <w:ind w:left="540"/>
        <w:rPr>
          <w:rFonts w:asciiTheme="minorHAnsi" w:hAnsiTheme="minorHAnsi" w:cstheme="minorHAnsi"/>
          <w:sz w:val="22"/>
        </w:rPr>
      </w:pPr>
      <w:r w:rsidRPr="003512D9">
        <w:rPr>
          <w:rFonts w:asciiTheme="minorHAnsi" w:hAnsiTheme="minorHAnsi"/>
          <w:sz w:val="22"/>
          <w:szCs w:val="22"/>
        </w:rPr>
        <w:t>Graph inverse trigonometric functions</w:t>
      </w:r>
      <w:r w:rsidR="00D32C84" w:rsidRPr="00D32C84">
        <w:rPr>
          <w:rFonts w:asciiTheme="minorHAnsi" w:hAnsiTheme="minorHAnsi" w:cstheme="minorHAnsi"/>
          <w:sz w:val="22"/>
        </w:rPr>
        <w:t>.</w:t>
      </w:r>
    </w:p>
    <w:p w:rsidR="00D32C84" w:rsidRDefault="003E657A" w:rsidP="003E657A">
      <w:pPr>
        <w:pStyle w:val="Heading2"/>
        <w:rPr>
          <w:rFonts w:cstheme="minorHAnsi"/>
          <w:sz w:val="22"/>
        </w:rPr>
      </w:pPr>
      <w:r>
        <w:t>Strand: Equations and Identities</w:t>
      </w:r>
    </w:p>
    <w:p w:rsidR="00D32C84" w:rsidRPr="00AA78A9" w:rsidRDefault="003E657A" w:rsidP="00D32C84">
      <w:pPr>
        <w:pStyle w:val="Heading3"/>
      </w:pPr>
      <w:r w:rsidRPr="00B172E1">
        <w:t>T.</w:t>
      </w:r>
      <w:r>
        <w:t>5</w:t>
      </w:r>
      <w:r>
        <w:tab/>
      </w:r>
      <w:r w:rsidRPr="004E71EB">
        <w:t>The student will verify basic trigonometric identities and make substitutions, using the basic identities</w:t>
      </w:r>
      <w:r w:rsidR="00D32C84" w:rsidRPr="00AA78A9">
        <w:t xml:space="preserve">. </w:t>
      </w:r>
    </w:p>
    <w:p w:rsidR="00D32C84" w:rsidRDefault="00D32C84" w:rsidP="001D32FF">
      <w:pPr>
        <w:rPr>
          <w:rFonts w:asciiTheme="minorHAnsi" w:hAnsiTheme="minorHAnsi" w:cstheme="minorHAnsi"/>
          <w:sz w:val="22"/>
        </w:rPr>
      </w:pPr>
    </w:p>
    <w:p w:rsidR="00D32C84" w:rsidRDefault="00D32C84" w:rsidP="00D32C84">
      <w:pPr>
        <w:pStyle w:val="Heading4"/>
      </w:pPr>
      <w:r w:rsidRPr="001B1EFC">
        <w:t>Understanding the Standard</w:t>
      </w:r>
    </w:p>
    <w:p w:rsidR="003E657A" w:rsidRPr="003512D9" w:rsidRDefault="003E657A" w:rsidP="003E657A">
      <w:pPr>
        <w:pStyle w:val="ColumnBullet"/>
        <w:tabs>
          <w:tab w:val="clear" w:pos="360"/>
        </w:tabs>
        <w:spacing w:before="120" w:after="120"/>
        <w:ind w:left="533"/>
        <w:rPr>
          <w:rFonts w:asciiTheme="minorHAnsi" w:hAnsiTheme="minorHAnsi"/>
          <w:sz w:val="22"/>
          <w:szCs w:val="22"/>
        </w:rPr>
      </w:pPr>
      <w:r w:rsidRPr="003512D9">
        <w:rPr>
          <w:rFonts w:asciiTheme="minorHAnsi" w:hAnsiTheme="minorHAnsi"/>
          <w:sz w:val="22"/>
          <w:szCs w:val="22"/>
        </w:rPr>
        <w:t>Trigonometric identities can be used to simplify trigonometric expressions, equations, or identities.</w:t>
      </w:r>
    </w:p>
    <w:p w:rsidR="00D32C84" w:rsidRPr="00D32C84" w:rsidRDefault="003E657A" w:rsidP="003E657A">
      <w:pPr>
        <w:pStyle w:val="ColumnBullet"/>
        <w:tabs>
          <w:tab w:val="clear" w:pos="360"/>
          <w:tab w:val="num" w:pos="540"/>
        </w:tabs>
        <w:spacing w:after="120"/>
        <w:ind w:left="540"/>
        <w:rPr>
          <w:rFonts w:asciiTheme="minorHAnsi" w:hAnsiTheme="minorHAnsi" w:cstheme="minorHAnsi"/>
          <w:sz w:val="22"/>
        </w:rPr>
      </w:pPr>
      <w:r w:rsidRPr="003512D9">
        <w:rPr>
          <w:rFonts w:asciiTheme="minorHAnsi" w:hAnsiTheme="minorHAnsi"/>
          <w:sz w:val="22"/>
          <w:szCs w:val="22"/>
        </w:rPr>
        <w:t>Trigonometric identity substitutions can help solve trigonometric equations, verify another identity, or simplify trigonometric expressions</w:t>
      </w:r>
      <w:r>
        <w:rPr>
          <w:rFonts w:asciiTheme="minorHAnsi" w:hAnsiTheme="minorHAnsi" w:cstheme="minorHAnsi"/>
          <w:sz w:val="22"/>
        </w:rPr>
        <w:t>.</w:t>
      </w:r>
    </w:p>
    <w:p w:rsidR="00D32C84" w:rsidRDefault="00D32C84" w:rsidP="00D32C84">
      <w:pPr>
        <w:pStyle w:val="Heading4"/>
      </w:pPr>
      <w:r>
        <w:t>Essential Knowledge and Skills</w:t>
      </w:r>
    </w:p>
    <w:p w:rsidR="00D32C84" w:rsidRPr="00E9050B" w:rsidRDefault="00D32C84" w:rsidP="00D32C84">
      <w:pPr>
        <w:pStyle w:val="BodyTextIndent2"/>
        <w:ind w:left="173"/>
        <w:rPr>
          <w:rFonts w:asciiTheme="minorHAnsi" w:hAnsiTheme="minorHAnsi"/>
          <w:sz w:val="22"/>
          <w:szCs w:val="22"/>
        </w:rPr>
      </w:pPr>
      <w:r w:rsidRPr="00E9050B">
        <w:rPr>
          <w:rFonts w:asciiTheme="minorHAnsi" w:hAnsiTheme="minorHAnsi"/>
          <w:sz w:val="22"/>
          <w:szCs w:val="22"/>
        </w:rPr>
        <w:t>The student will use problem solving, mathematical communication, mathematical reasoning, connections, and representations to</w:t>
      </w:r>
    </w:p>
    <w:p w:rsidR="003E657A" w:rsidRPr="003512D9" w:rsidRDefault="003E657A" w:rsidP="003E657A">
      <w:pPr>
        <w:pStyle w:val="ColumnBullet"/>
        <w:tabs>
          <w:tab w:val="clear" w:pos="360"/>
        </w:tabs>
        <w:spacing w:after="120"/>
        <w:ind w:left="533"/>
        <w:rPr>
          <w:rFonts w:asciiTheme="minorHAnsi" w:hAnsiTheme="minorHAnsi"/>
          <w:sz w:val="22"/>
          <w:szCs w:val="22"/>
        </w:rPr>
      </w:pPr>
      <w:r w:rsidRPr="003512D9">
        <w:rPr>
          <w:rFonts w:asciiTheme="minorHAnsi" w:hAnsiTheme="minorHAnsi"/>
          <w:sz w:val="22"/>
          <w:szCs w:val="22"/>
        </w:rPr>
        <w:t>Use trigonometric identities to make algebraic substitutions to simplify and verify trigonometric identities. The basic trigonometric identities include</w:t>
      </w:r>
    </w:p>
    <w:p w:rsidR="003E657A" w:rsidRPr="003512D9" w:rsidRDefault="003E657A" w:rsidP="003E657A">
      <w:pPr>
        <w:pStyle w:val="ColumnSubbullet"/>
        <w:ind w:left="878" w:right="346"/>
        <w:rPr>
          <w:rFonts w:asciiTheme="minorHAnsi" w:hAnsiTheme="minorHAnsi"/>
          <w:sz w:val="22"/>
          <w:szCs w:val="22"/>
        </w:rPr>
      </w:pPr>
      <w:r w:rsidRPr="003512D9">
        <w:rPr>
          <w:rFonts w:asciiTheme="minorHAnsi" w:hAnsiTheme="minorHAnsi"/>
          <w:sz w:val="22"/>
          <w:szCs w:val="22"/>
        </w:rPr>
        <w:t>reciprocal identities;</w:t>
      </w:r>
    </w:p>
    <w:p w:rsidR="003E657A" w:rsidRPr="003512D9" w:rsidRDefault="003E657A" w:rsidP="003E657A">
      <w:pPr>
        <w:pStyle w:val="ColumnSubbullet"/>
        <w:ind w:left="878" w:right="346"/>
        <w:rPr>
          <w:rFonts w:asciiTheme="minorHAnsi" w:hAnsiTheme="minorHAnsi"/>
          <w:sz w:val="22"/>
          <w:szCs w:val="22"/>
        </w:rPr>
      </w:pPr>
      <w:r w:rsidRPr="003512D9">
        <w:rPr>
          <w:rFonts w:asciiTheme="minorHAnsi" w:hAnsiTheme="minorHAnsi"/>
          <w:sz w:val="22"/>
          <w:szCs w:val="22"/>
        </w:rPr>
        <w:t>Pythagorean identities;</w:t>
      </w:r>
    </w:p>
    <w:p w:rsidR="003E657A" w:rsidRPr="003512D9" w:rsidRDefault="003E657A" w:rsidP="003E657A">
      <w:pPr>
        <w:pStyle w:val="ColumnSubbullet"/>
        <w:ind w:left="878" w:right="346"/>
        <w:rPr>
          <w:rFonts w:asciiTheme="minorHAnsi" w:hAnsiTheme="minorHAnsi"/>
          <w:sz w:val="22"/>
          <w:szCs w:val="22"/>
        </w:rPr>
      </w:pPr>
      <w:r w:rsidRPr="003512D9">
        <w:rPr>
          <w:rFonts w:asciiTheme="minorHAnsi" w:hAnsiTheme="minorHAnsi"/>
          <w:sz w:val="22"/>
          <w:szCs w:val="22"/>
        </w:rPr>
        <w:t>sum and difference identities;</w:t>
      </w:r>
    </w:p>
    <w:p w:rsidR="003E657A" w:rsidRDefault="003E657A" w:rsidP="003E657A">
      <w:pPr>
        <w:pStyle w:val="ColumnSubbullet"/>
        <w:ind w:left="878" w:right="346"/>
        <w:rPr>
          <w:rFonts w:asciiTheme="minorHAnsi" w:hAnsiTheme="minorHAnsi"/>
          <w:sz w:val="22"/>
          <w:szCs w:val="22"/>
        </w:rPr>
      </w:pPr>
      <w:r w:rsidRPr="003512D9">
        <w:rPr>
          <w:rFonts w:asciiTheme="minorHAnsi" w:hAnsiTheme="minorHAnsi"/>
          <w:sz w:val="22"/>
          <w:szCs w:val="22"/>
        </w:rPr>
        <w:t>double-angle identities; and</w:t>
      </w:r>
    </w:p>
    <w:p w:rsidR="00D32C84" w:rsidRPr="003E657A" w:rsidRDefault="003E657A" w:rsidP="00DF06BA">
      <w:pPr>
        <w:pStyle w:val="ColumnSubbullet"/>
        <w:ind w:left="878" w:right="346"/>
        <w:rPr>
          <w:rFonts w:asciiTheme="minorHAnsi" w:hAnsiTheme="minorHAnsi"/>
          <w:sz w:val="22"/>
          <w:szCs w:val="22"/>
        </w:rPr>
      </w:pPr>
      <w:proofErr w:type="gramStart"/>
      <w:r w:rsidRPr="003E657A">
        <w:rPr>
          <w:rFonts w:asciiTheme="minorHAnsi" w:hAnsiTheme="minorHAnsi"/>
          <w:sz w:val="22"/>
          <w:szCs w:val="22"/>
        </w:rPr>
        <w:t>half-angle</w:t>
      </w:r>
      <w:proofErr w:type="gramEnd"/>
      <w:r w:rsidRPr="003E657A">
        <w:rPr>
          <w:rFonts w:asciiTheme="minorHAnsi" w:hAnsiTheme="minorHAnsi"/>
          <w:sz w:val="22"/>
          <w:szCs w:val="22"/>
        </w:rPr>
        <w:t xml:space="preserve"> identities</w:t>
      </w:r>
      <w:r w:rsidR="00D32C84" w:rsidRPr="003E657A">
        <w:rPr>
          <w:rFonts w:asciiTheme="minorHAnsi" w:hAnsiTheme="minorHAnsi"/>
          <w:sz w:val="22"/>
          <w:szCs w:val="22"/>
        </w:rPr>
        <w:t>.</w:t>
      </w:r>
    </w:p>
    <w:p w:rsidR="0031771F" w:rsidRDefault="003E657A" w:rsidP="0031771F">
      <w:pPr>
        <w:pStyle w:val="Heading3"/>
        <w:rPr>
          <w:caps/>
        </w:rPr>
      </w:pPr>
      <w:r w:rsidRPr="00B172E1">
        <w:t>T.</w:t>
      </w:r>
      <w:r>
        <w:t>6</w:t>
      </w:r>
      <w:r>
        <w:tab/>
      </w:r>
      <w:r w:rsidRPr="004E71EB">
        <w:t>The student will solve trigonometric equations and inequalities</w:t>
      </w:r>
      <w:r w:rsidR="0031771F" w:rsidRPr="00D97909">
        <w:t xml:space="preserve">. </w:t>
      </w:r>
    </w:p>
    <w:p w:rsidR="0031771F" w:rsidRDefault="0031771F" w:rsidP="0031771F">
      <w:pPr>
        <w:pStyle w:val="Heading4"/>
      </w:pPr>
      <w:r w:rsidRPr="001B1EFC">
        <w:t>Understanding the Standard</w:t>
      </w:r>
    </w:p>
    <w:p w:rsidR="003E657A" w:rsidRPr="00BF3A40" w:rsidRDefault="003E657A" w:rsidP="003E657A">
      <w:pPr>
        <w:pStyle w:val="ColumnBullet"/>
        <w:tabs>
          <w:tab w:val="clear" w:pos="360"/>
        </w:tabs>
        <w:spacing w:before="120" w:after="120"/>
        <w:ind w:left="533"/>
        <w:rPr>
          <w:rFonts w:asciiTheme="minorHAnsi" w:hAnsiTheme="minorHAnsi"/>
          <w:sz w:val="22"/>
          <w:szCs w:val="22"/>
        </w:rPr>
      </w:pPr>
      <w:r w:rsidRPr="00BF3A40">
        <w:rPr>
          <w:rFonts w:asciiTheme="minorHAnsi" w:hAnsiTheme="minorHAnsi"/>
          <w:sz w:val="22"/>
          <w:szCs w:val="22"/>
        </w:rPr>
        <w:t>Solutions for trigonometric equations will depend on the domains.</w:t>
      </w:r>
    </w:p>
    <w:p w:rsidR="00212898" w:rsidRPr="003E75CD" w:rsidRDefault="003E657A" w:rsidP="003E657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A graphing utility can be used to determine the solution of a trigonometric equation</w:t>
      </w:r>
      <w:r w:rsidR="00212898" w:rsidRPr="003E75CD">
        <w:rPr>
          <w:rFonts w:asciiTheme="minorHAnsi" w:hAnsiTheme="minorHAnsi"/>
          <w:sz w:val="22"/>
          <w:szCs w:val="22"/>
        </w:rPr>
        <w:t>.</w:t>
      </w:r>
    </w:p>
    <w:p w:rsidR="0031771F" w:rsidRDefault="0031771F" w:rsidP="0031771F">
      <w:pPr>
        <w:pStyle w:val="Heading4"/>
      </w:pPr>
      <w:r>
        <w:t>Essential Knowledge and Skills</w:t>
      </w:r>
    </w:p>
    <w:p w:rsidR="00212898" w:rsidRPr="003E75CD" w:rsidRDefault="00212898" w:rsidP="00212898">
      <w:pPr>
        <w:pStyle w:val="BodyTextIndent2"/>
        <w:spacing w:after="120"/>
        <w:ind w:left="177"/>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3E657A" w:rsidRPr="00BF3A40" w:rsidRDefault="003E657A" w:rsidP="003E657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Solve trigonometric equations with and without restricted domains algebraically and graphically.</w:t>
      </w:r>
    </w:p>
    <w:p w:rsidR="003E657A" w:rsidRPr="00BF3A40" w:rsidRDefault="003E657A" w:rsidP="003E657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Solve trigonometric inequalities algebraically and graphically.</w:t>
      </w:r>
    </w:p>
    <w:p w:rsidR="00212898" w:rsidRDefault="003E657A" w:rsidP="003E657A">
      <w:pPr>
        <w:pStyle w:val="ColumnBullet"/>
        <w:tabs>
          <w:tab w:val="clear" w:pos="360"/>
        </w:tabs>
        <w:spacing w:after="120"/>
        <w:ind w:left="537"/>
      </w:pPr>
      <w:r w:rsidRPr="00BF3A40">
        <w:rPr>
          <w:rFonts w:asciiTheme="minorHAnsi" w:hAnsiTheme="minorHAnsi"/>
          <w:sz w:val="22"/>
          <w:szCs w:val="22"/>
        </w:rPr>
        <w:t>Verify algebraic solutions, using a graphing utility</w:t>
      </w:r>
      <w:r w:rsidR="00212898" w:rsidRPr="00212898">
        <w:rPr>
          <w:rFonts w:asciiTheme="minorHAnsi" w:hAnsiTheme="minorHAnsi"/>
          <w:sz w:val="22"/>
          <w:szCs w:val="22"/>
        </w:rPr>
        <w:t>.</w:t>
      </w:r>
    </w:p>
    <w:p w:rsidR="003428FC" w:rsidRDefault="003428FC" w:rsidP="003428FC"/>
    <w:p w:rsidR="003428FC" w:rsidRDefault="003E657A" w:rsidP="003428FC">
      <w:pPr>
        <w:pStyle w:val="Heading3"/>
        <w:rPr>
          <w:caps/>
        </w:rPr>
      </w:pPr>
      <w:r w:rsidRPr="00B172E1">
        <w:t>T.</w:t>
      </w:r>
      <w:r>
        <w:t>7</w:t>
      </w:r>
      <w:r>
        <w:tab/>
      </w:r>
      <w:r w:rsidRPr="004E71EB">
        <w:t>The student will determine the value of any trigonometric function and inverse trigonometric function</w:t>
      </w:r>
      <w:r w:rsidR="003428FC" w:rsidRPr="00D97909">
        <w:t xml:space="preserve">. </w:t>
      </w:r>
    </w:p>
    <w:p w:rsidR="003428FC" w:rsidRDefault="003428FC" w:rsidP="003428FC">
      <w:pPr>
        <w:pStyle w:val="Heading4"/>
      </w:pPr>
      <w:r w:rsidRPr="001B1EFC">
        <w:t>Understanding the Standard</w:t>
      </w:r>
    </w:p>
    <w:p w:rsidR="003E657A" w:rsidRPr="00BF3A40" w:rsidRDefault="003E657A" w:rsidP="003E657A">
      <w:pPr>
        <w:pStyle w:val="ColumnBullet"/>
        <w:tabs>
          <w:tab w:val="clear" w:pos="360"/>
        </w:tabs>
        <w:spacing w:before="120" w:after="120"/>
        <w:ind w:left="533"/>
        <w:rPr>
          <w:rFonts w:asciiTheme="minorHAnsi" w:hAnsiTheme="minorHAnsi"/>
          <w:sz w:val="22"/>
          <w:szCs w:val="22"/>
        </w:rPr>
      </w:pPr>
      <w:r w:rsidRPr="00BF3A40">
        <w:rPr>
          <w:rFonts w:asciiTheme="minorHAnsi" w:hAnsiTheme="minorHAnsi"/>
          <w:sz w:val="22"/>
          <w:szCs w:val="22"/>
        </w:rPr>
        <w:t xml:space="preserve">The trigonometric function values of any angle can be found by using a </w:t>
      </w:r>
      <w:r>
        <w:rPr>
          <w:rFonts w:asciiTheme="minorHAnsi" w:hAnsiTheme="minorHAnsi"/>
          <w:sz w:val="22"/>
          <w:szCs w:val="22"/>
        </w:rPr>
        <w:t>graphing utility</w:t>
      </w:r>
      <w:r w:rsidRPr="00BF3A40">
        <w:rPr>
          <w:rFonts w:asciiTheme="minorHAnsi" w:hAnsiTheme="minorHAnsi"/>
          <w:sz w:val="22"/>
          <w:szCs w:val="22"/>
        </w:rPr>
        <w:t>.</w:t>
      </w:r>
    </w:p>
    <w:p w:rsidR="003E657A" w:rsidRPr="00BF3A40" w:rsidRDefault="003E657A" w:rsidP="003E657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The inverse trigonometric functions can be used to determine angle measures whose trigonometric function values are known.</w:t>
      </w:r>
    </w:p>
    <w:p w:rsidR="003E657A" w:rsidRPr="00BF3A40" w:rsidRDefault="003E657A" w:rsidP="003E657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Calculations of inverse trigonometric function values can be related to the triangular definitions of the trigonometric functions.</w:t>
      </w:r>
    </w:p>
    <w:p w:rsidR="003428FC" w:rsidRPr="003428FC" w:rsidRDefault="003E657A" w:rsidP="003E657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Trigonometric functions are not invertible, because they are periodic.  Domain restrictions on trigonometric functions are necessary in order to determine the inverse trigonometric function</w:t>
      </w:r>
      <w:r w:rsidR="003428FC" w:rsidRPr="003428FC">
        <w:rPr>
          <w:rFonts w:asciiTheme="minorHAnsi" w:hAnsiTheme="minorHAnsi"/>
          <w:sz w:val="22"/>
          <w:szCs w:val="22"/>
        </w:rPr>
        <w:t>.</w:t>
      </w:r>
    </w:p>
    <w:p w:rsidR="003428FC" w:rsidRDefault="003428FC" w:rsidP="003428FC">
      <w:pPr>
        <w:pStyle w:val="Heading4"/>
      </w:pPr>
      <w:r>
        <w:t>Essential Knowledge and Skills</w:t>
      </w:r>
    </w:p>
    <w:p w:rsidR="003428FC" w:rsidRPr="003E75CD" w:rsidRDefault="003428FC" w:rsidP="003428FC">
      <w:pPr>
        <w:pStyle w:val="BodyTextIndent2"/>
        <w:spacing w:after="120"/>
        <w:ind w:left="173"/>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3E657A" w:rsidRPr="00BF3A40" w:rsidRDefault="003E657A" w:rsidP="003E657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 xml:space="preserve">Use a </w:t>
      </w:r>
      <w:r>
        <w:rPr>
          <w:rFonts w:asciiTheme="minorHAnsi" w:hAnsiTheme="minorHAnsi"/>
          <w:sz w:val="22"/>
          <w:szCs w:val="22"/>
        </w:rPr>
        <w:t>graphing utility</w:t>
      </w:r>
      <w:r w:rsidRPr="00BF3A40">
        <w:rPr>
          <w:rFonts w:asciiTheme="minorHAnsi" w:hAnsiTheme="minorHAnsi"/>
          <w:sz w:val="22"/>
          <w:szCs w:val="22"/>
        </w:rPr>
        <w:t xml:space="preserve"> to determine the trigonometric function values of any angle in either degrees or radians.</w:t>
      </w:r>
    </w:p>
    <w:p w:rsidR="003E657A" w:rsidRPr="00BF3A40" w:rsidRDefault="003E657A" w:rsidP="003E657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Define inverse trigonometric functions.</w:t>
      </w:r>
    </w:p>
    <w:p w:rsidR="003428FC" w:rsidRPr="003428FC" w:rsidRDefault="003E657A" w:rsidP="003E657A">
      <w:pPr>
        <w:pStyle w:val="ColumnBullet"/>
        <w:tabs>
          <w:tab w:val="clear" w:pos="360"/>
        </w:tabs>
        <w:spacing w:after="120"/>
        <w:ind w:left="533"/>
        <w:rPr>
          <w:rFonts w:asciiTheme="minorHAnsi" w:hAnsiTheme="minorHAnsi"/>
          <w:sz w:val="22"/>
          <w:szCs w:val="22"/>
        </w:rPr>
      </w:pPr>
      <w:r w:rsidRPr="00BF3A40">
        <w:rPr>
          <w:rFonts w:asciiTheme="minorHAnsi" w:hAnsiTheme="minorHAnsi"/>
          <w:sz w:val="22"/>
          <w:szCs w:val="22"/>
        </w:rPr>
        <w:t>Determine angle measures by using the inverse trigonometric functions when the trigonometric function values are given</w:t>
      </w:r>
      <w:r w:rsidR="003428FC" w:rsidRPr="003428FC">
        <w:rPr>
          <w:rFonts w:asciiTheme="minorHAnsi" w:hAnsiTheme="minorHAnsi"/>
          <w:sz w:val="22"/>
          <w:szCs w:val="22"/>
        </w:rPr>
        <w:t>.</w:t>
      </w:r>
    </w:p>
    <w:p w:rsidR="00DF06BA" w:rsidRDefault="00DF06BA" w:rsidP="00DF06BA">
      <w:pPr>
        <w:pStyle w:val="Heading2"/>
      </w:pPr>
      <w:bookmarkStart w:id="0" w:name="_GoBack"/>
      <w:bookmarkEnd w:id="0"/>
      <w:r>
        <w:t>Strand: Applications of Trigonometric Functions</w:t>
      </w:r>
      <w:r w:rsidRPr="00B172E1">
        <w:t xml:space="preserve"> </w:t>
      </w:r>
    </w:p>
    <w:p w:rsidR="003428FC" w:rsidRPr="00D97909" w:rsidRDefault="003E657A" w:rsidP="003428FC">
      <w:pPr>
        <w:pStyle w:val="Heading3"/>
      </w:pPr>
      <w:r w:rsidRPr="00B172E1">
        <w:t>T.</w:t>
      </w:r>
      <w:r>
        <w:t>8</w:t>
      </w:r>
      <w:r>
        <w:tab/>
      </w:r>
      <w:r w:rsidRPr="004E71EB">
        <w:t>The student will create and solve practical problems involving triangles</w:t>
      </w:r>
      <w:r w:rsidR="003428FC" w:rsidRPr="00D97909">
        <w:t xml:space="preserve">. </w:t>
      </w:r>
    </w:p>
    <w:p w:rsidR="003428FC" w:rsidRDefault="003428FC" w:rsidP="003428FC">
      <w:pPr>
        <w:pStyle w:val="Heading4"/>
      </w:pPr>
      <w:r w:rsidRPr="001B1EFC">
        <w:t>Understanding the Standard</w:t>
      </w:r>
    </w:p>
    <w:p w:rsidR="003428FC" w:rsidRPr="003428FC" w:rsidRDefault="00DF06BA" w:rsidP="003428FC">
      <w:pPr>
        <w:pStyle w:val="ColumnBullet"/>
        <w:tabs>
          <w:tab w:val="clear" w:pos="360"/>
        </w:tabs>
        <w:spacing w:before="120" w:after="120"/>
        <w:ind w:left="533"/>
        <w:rPr>
          <w:rFonts w:asciiTheme="minorHAnsi" w:hAnsiTheme="minorHAnsi"/>
          <w:sz w:val="22"/>
          <w:szCs w:val="22"/>
        </w:rPr>
      </w:pPr>
      <w:r w:rsidRPr="00BF3A40">
        <w:rPr>
          <w:rFonts w:asciiTheme="minorHAnsi" w:hAnsiTheme="minorHAnsi"/>
          <w:sz w:val="22"/>
          <w:szCs w:val="22"/>
        </w:rPr>
        <w:t>A practical problem may be solved by using one of a variety of techniques associated with triangles</w:t>
      </w:r>
      <w:r w:rsidR="003428FC" w:rsidRPr="003428FC">
        <w:rPr>
          <w:rFonts w:asciiTheme="minorHAnsi" w:hAnsiTheme="minorHAnsi"/>
          <w:sz w:val="22"/>
          <w:szCs w:val="22"/>
        </w:rPr>
        <w:t>.</w:t>
      </w:r>
    </w:p>
    <w:p w:rsidR="003428FC" w:rsidRDefault="003428FC" w:rsidP="003428FC">
      <w:pPr>
        <w:pStyle w:val="Heading4"/>
      </w:pPr>
      <w:r>
        <w:t>Essential Knowledge and Skills</w:t>
      </w:r>
    </w:p>
    <w:p w:rsidR="003428FC" w:rsidRPr="003E75CD" w:rsidRDefault="003428FC" w:rsidP="003428FC">
      <w:pPr>
        <w:pStyle w:val="BodyTextIndent2"/>
        <w:spacing w:after="120"/>
        <w:ind w:left="177"/>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DF06BA" w:rsidRPr="00BF3A40" w:rsidRDefault="00DF06BA" w:rsidP="00DF06B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Create and solve practical problems involving triangles.</w:t>
      </w:r>
    </w:p>
    <w:p w:rsidR="00DF06BA" w:rsidRPr="00BF3A40" w:rsidRDefault="00DF06BA" w:rsidP="00DF06B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Use the trigonometric functions, Pythagorean Theorem, Law of Sines, and Law of Cosines to solve practical problems.</w:t>
      </w:r>
    </w:p>
    <w:p w:rsidR="00DF06BA" w:rsidRPr="00BF3A40" w:rsidRDefault="00DF06BA" w:rsidP="00DF06B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Use the trigonometric functions to model practical situations.</w:t>
      </w:r>
    </w:p>
    <w:p w:rsidR="00DF06BA" w:rsidRPr="00BF3A40" w:rsidRDefault="00DF06BA" w:rsidP="00DF06B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Identify a solution technique associated with triangles that could be used with a given problem.</w:t>
      </w:r>
    </w:p>
    <w:p w:rsidR="003428FC" w:rsidRPr="003E75CD" w:rsidRDefault="00DF06BA" w:rsidP="00DF06BA">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Apply the sum and difference identities for sine, cosine, and tangent to solve problems</w:t>
      </w:r>
      <w:r w:rsidR="003428FC" w:rsidRPr="003E75CD">
        <w:rPr>
          <w:rFonts w:asciiTheme="minorHAnsi" w:hAnsiTheme="minorHAnsi"/>
          <w:sz w:val="22"/>
          <w:szCs w:val="22"/>
        </w:rPr>
        <w:t>.</w:t>
      </w:r>
    </w:p>
    <w:p w:rsidR="003428FC" w:rsidRDefault="003428FC" w:rsidP="003428FC"/>
    <w:p w:rsidR="00DF06BA" w:rsidRPr="00866B64" w:rsidRDefault="00DF06BA" w:rsidP="00DF06BA">
      <w:pPr>
        <w:pStyle w:val="Heading3"/>
      </w:pPr>
      <w:r w:rsidRPr="00866B64">
        <w:t>T.9</w:t>
      </w:r>
      <w:r>
        <w:tab/>
      </w:r>
      <w:r w:rsidRPr="00866B64">
        <w:t xml:space="preserve">The student will solve problems, including practical problems, involving </w:t>
      </w:r>
    </w:p>
    <w:p w:rsidR="00DF06BA" w:rsidRDefault="00DF06BA" w:rsidP="00DF06BA">
      <w:pPr>
        <w:pStyle w:val="Heading3"/>
        <w:numPr>
          <w:ilvl w:val="0"/>
          <w:numId w:val="19"/>
        </w:numPr>
      </w:pPr>
      <w:proofErr w:type="gramStart"/>
      <w:r w:rsidRPr="00866B64">
        <w:t>arc</w:t>
      </w:r>
      <w:proofErr w:type="gramEnd"/>
      <w:r w:rsidRPr="00866B64">
        <w:t xml:space="preserve"> length and area of sectors in circles using radians and degrees; and</w:t>
      </w:r>
    </w:p>
    <w:p w:rsidR="003428FC" w:rsidRPr="00DF06BA" w:rsidRDefault="00DF06BA" w:rsidP="00DF06BA">
      <w:pPr>
        <w:pStyle w:val="Heading3"/>
        <w:numPr>
          <w:ilvl w:val="0"/>
          <w:numId w:val="19"/>
        </w:numPr>
      </w:pPr>
      <w:proofErr w:type="gramStart"/>
      <w:r w:rsidRPr="00866B64">
        <w:t>linear</w:t>
      </w:r>
      <w:proofErr w:type="gramEnd"/>
      <w:r w:rsidRPr="00866B64">
        <w:t xml:space="preserve"> and angular velocity</w:t>
      </w:r>
      <w:r w:rsidR="003428FC" w:rsidRPr="004D062B">
        <w:t>.</w:t>
      </w:r>
    </w:p>
    <w:p w:rsidR="003428FC" w:rsidRDefault="003428FC" w:rsidP="003428FC">
      <w:pPr>
        <w:pStyle w:val="Heading4"/>
      </w:pPr>
      <w:r w:rsidRPr="001B1EFC">
        <w:t>Understanding the Standard</w:t>
      </w:r>
    </w:p>
    <w:p w:rsidR="00DF06BA" w:rsidRPr="00BF3A40" w:rsidRDefault="00DF06BA" w:rsidP="00DF06BA">
      <w:pPr>
        <w:pStyle w:val="ColumnBullet"/>
        <w:tabs>
          <w:tab w:val="clear" w:pos="360"/>
        </w:tabs>
        <w:spacing w:after="120"/>
        <w:ind w:left="533"/>
        <w:rPr>
          <w:rFonts w:asciiTheme="minorHAnsi" w:hAnsiTheme="minorHAnsi"/>
          <w:sz w:val="22"/>
          <w:szCs w:val="22"/>
        </w:rPr>
      </w:pPr>
      <w:r w:rsidRPr="00BF3A40">
        <w:rPr>
          <w:rFonts w:asciiTheme="minorHAnsi" w:hAnsiTheme="minorHAnsi"/>
          <w:sz w:val="22"/>
          <w:szCs w:val="22"/>
        </w:rPr>
        <w:t>Degrees and radians are units of angle measure.</w:t>
      </w:r>
    </w:p>
    <w:p w:rsidR="00DF06BA" w:rsidRPr="00BF3A40" w:rsidRDefault="00DF06BA" w:rsidP="00DF06BA">
      <w:pPr>
        <w:pStyle w:val="ColumnBullet"/>
        <w:tabs>
          <w:tab w:val="clear" w:pos="360"/>
        </w:tabs>
        <w:spacing w:after="120"/>
        <w:ind w:left="533"/>
        <w:rPr>
          <w:rFonts w:asciiTheme="minorHAnsi" w:hAnsiTheme="minorHAnsi"/>
          <w:sz w:val="22"/>
          <w:szCs w:val="22"/>
        </w:rPr>
      </w:pPr>
      <w:r w:rsidRPr="00BF3A40">
        <w:rPr>
          <w:rFonts w:asciiTheme="minorHAnsi" w:hAnsiTheme="minorHAnsi"/>
          <w:sz w:val="22"/>
          <w:szCs w:val="22"/>
        </w:rPr>
        <w:t>A radian is the measure of the central angle that is determined by an arc whose length is the same as the radius of the circle.</w:t>
      </w:r>
    </w:p>
    <w:p w:rsidR="003428FC" w:rsidRPr="003428FC" w:rsidRDefault="00DF06BA" w:rsidP="00DF06BA">
      <w:pPr>
        <w:pStyle w:val="ColumnBullet"/>
        <w:tabs>
          <w:tab w:val="clear" w:pos="360"/>
          <w:tab w:val="num" w:pos="540"/>
        </w:tabs>
        <w:ind w:left="540"/>
        <w:rPr>
          <w:rFonts w:asciiTheme="minorHAnsi" w:hAnsiTheme="minorHAnsi" w:cstheme="minorHAnsi"/>
          <w:sz w:val="22"/>
        </w:rPr>
      </w:pPr>
      <w:r w:rsidRPr="00BF3A40">
        <w:rPr>
          <w:rFonts w:asciiTheme="minorHAnsi" w:hAnsiTheme="minorHAnsi"/>
          <w:sz w:val="22"/>
          <w:szCs w:val="22"/>
        </w:rPr>
        <w:t xml:space="preserve">The relationship between the radian measure of an angle and the length of the intercepted arc can be represented </w:t>
      </w:r>
      <w:proofErr w:type="gramStart"/>
      <w:r w:rsidRPr="00BF3A40">
        <w:rPr>
          <w:rFonts w:asciiTheme="minorHAnsi" w:hAnsiTheme="minorHAnsi"/>
          <w:sz w:val="22"/>
          <w:szCs w:val="22"/>
        </w:rPr>
        <w:t xml:space="preserve">by </w:t>
      </w:r>
      <w:proofErr w:type="gramEnd"/>
      <m:oMath>
        <m:r>
          <w:rPr>
            <w:rFonts w:ascii="Cambria Math" w:hAnsi="Cambria Math"/>
            <w:sz w:val="22"/>
            <w:szCs w:val="22"/>
          </w:rPr>
          <m:t>s=rθ</m:t>
        </m:r>
      </m:oMath>
      <w:r w:rsidRPr="00BF3A40">
        <w:rPr>
          <w:rFonts w:asciiTheme="minorHAnsi" w:hAnsiTheme="minorHAnsi"/>
          <w:sz w:val="22"/>
          <w:szCs w:val="22"/>
        </w:rPr>
        <w:t xml:space="preserve">, where </w:t>
      </w:r>
      <w:r w:rsidRPr="00BF3A40">
        <w:rPr>
          <w:rFonts w:asciiTheme="minorHAnsi" w:hAnsiTheme="minorHAnsi"/>
          <w:i/>
          <w:sz w:val="22"/>
          <w:szCs w:val="22"/>
        </w:rPr>
        <w:t>s</w:t>
      </w:r>
      <w:r w:rsidRPr="00BF3A40">
        <w:rPr>
          <w:rFonts w:asciiTheme="minorHAnsi" w:hAnsiTheme="minorHAnsi"/>
          <w:sz w:val="22"/>
          <w:szCs w:val="22"/>
        </w:rPr>
        <w:t xml:space="preserve"> is the arc length, </w:t>
      </w:r>
      <w:r w:rsidRPr="00BF3A40">
        <w:rPr>
          <w:rFonts w:asciiTheme="minorHAnsi" w:hAnsiTheme="minorHAnsi"/>
          <w:i/>
          <w:sz w:val="22"/>
          <w:szCs w:val="22"/>
        </w:rPr>
        <w:t>r</w:t>
      </w:r>
      <w:r w:rsidRPr="00BF3A40">
        <w:rPr>
          <w:rFonts w:asciiTheme="minorHAnsi" w:hAnsiTheme="minorHAnsi"/>
          <w:sz w:val="22"/>
          <w:szCs w:val="22"/>
        </w:rPr>
        <w:t xml:space="preserve"> is the length of the radius, and </w:t>
      </w:r>
      <m:oMath>
        <m:r>
          <w:rPr>
            <w:rFonts w:ascii="Cambria Math" w:hAnsi="Cambria Math"/>
            <w:sz w:val="22"/>
            <w:szCs w:val="22"/>
          </w:rPr>
          <m:t>θ</m:t>
        </m:r>
      </m:oMath>
      <w:r w:rsidRPr="00BF3A40">
        <w:rPr>
          <w:rFonts w:asciiTheme="minorHAnsi" w:hAnsiTheme="minorHAnsi"/>
          <w:sz w:val="22"/>
          <w:szCs w:val="22"/>
        </w:rPr>
        <w:t xml:space="preserve"> is the measure of the angle</w:t>
      </w:r>
      <w:r w:rsidR="003428FC" w:rsidRPr="003428FC">
        <w:rPr>
          <w:rFonts w:asciiTheme="minorHAnsi" w:hAnsiTheme="minorHAnsi" w:cstheme="minorHAnsi"/>
          <w:sz w:val="22"/>
        </w:rPr>
        <w:t>.</w:t>
      </w:r>
    </w:p>
    <w:p w:rsidR="003428FC" w:rsidRDefault="003428FC" w:rsidP="003428FC">
      <w:pPr>
        <w:pStyle w:val="Heading4"/>
      </w:pPr>
      <w:r>
        <w:t>Essential Knowledge and Skills</w:t>
      </w:r>
    </w:p>
    <w:p w:rsidR="003428FC" w:rsidRPr="003E75CD" w:rsidRDefault="003428FC" w:rsidP="003428FC">
      <w:pPr>
        <w:pStyle w:val="BodyTextIndent2"/>
        <w:spacing w:after="120"/>
        <w:ind w:left="177"/>
        <w:rPr>
          <w:rFonts w:asciiTheme="minorHAnsi" w:hAnsiTheme="minorHAnsi"/>
          <w:sz w:val="22"/>
          <w:szCs w:val="22"/>
        </w:rPr>
      </w:pPr>
      <w:r w:rsidRPr="003E75CD">
        <w:rPr>
          <w:rFonts w:asciiTheme="minorHAnsi" w:hAnsiTheme="minorHAnsi"/>
          <w:sz w:val="22"/>
          <w:szCs w:val="22"/>
        </w:rPr>
        <w:t>The student will use problem solving, mathematical communication, mathematical reasoning, connections, and representations to</w:t>
      </w:r>
    </w:p>
    <w:p w:rsidR="00DF06BA" w:rsidRPr="00BF3A40" w:rsidRDefault="00DF06BA" w:rsidP="00DF06BA">
      <w:pPr>
        <w:pStyle w:val="ColumnBullet"/>
        <w:numPr>
          <w:ilvl w:val="0"/>
          <w:numId w:val="18"/>
        </w:numPr>
        <w:spacing w:after="120"/>
        <w:ind w:left="522"/>
        <w:rPr>
          <w:rFonts w:asciiTheme="minorHAnsi" w:hAnsiTheme="minorHAnsi"/>
          <w:sz w:val="22"/>
          <w:szCs w:val="22"/>
        </w:rPr>
      </w:pPr>
      <w:r w:rsidRPr="00BF3A40">
        <w:rPr>
          <w:rFonts w:asciiTheme="minorHAnsi" w:hAnsiTheme="minorHAnsi"/>
          <w:sz w:val="22"/>
          <w:szCs w:val="22"/>
        </w:rPr>
        <w:t>Convert between any angle expressed in radians and de</w:t>
      </w:r>
      <w:r>
        <w:rPr>
          <w:rFonts w:asciiTheme="minorHAnsi" w:hAnsiTheme="minorHAnsi"/>
          <w:sz w:val="22"/>
          <w:szCs w:val="22"/>
        </w:rPr>
        <w:t>grees without using a graphing utility</w:t>
      </w:r>
      <w:r w:rsidRPr="00BF3A40">
        <w:rPr>
          <w:rFonts w:asciiTheme="minorHAnsi" w:hAnsiTheme="minorHAnsi"/>
          <w:sz w:val="22"/>
          <w:szCs w:val="22"/>
        </w:rPr>
        <w:t>. (a)</w:t>
      </w:r>
    </w:p>
    <w:p w:rsidR="00DF06BA" w:rsidRPr="00BF3A40" w:rsidRDefault="00DF06BA" w:rsidP="00DF06BA">
      <w:pPr>
        <w:pStyle w:val="ColumnBullet"/>
        <w:tabs>
          <w:tab w:val="clear" w:pos="360"/>
          <w:tab w:val="num" w:pos="540"/>
        </w:tabs>
        <w:spacing w:after="120"/>
        <w:ind w:left="522"/>
        <w:rPr>
          <w:rFonts w:asciiTheme="minorHAnsi" w:hAnsiTheme="minorHAnsi"/>
          <w:sz w:val="22"/>
          <w:szCs w:val="22"/>
        </w:rPr>
      </w:pPr>
      <w:r w:rsidRPr="00BF3A40">
        <w:rPr>
          <w:rFonts w:asciiTheme="minorHAnsi" w:hAnsiTheme="minorHAnsi"/>
          <w:sz w:val="22"/>
          <w:szCs w:val="22"/>
        </w:rPr>
        <w:t>Derive the relationship between the radian measure of an angle and the length of the intercepted arc. (</w:t>
      </w:r>
      <w:r>
        <w:rPr>
          <w:rFonts w:asciiTheme="minorHAnsi" w:hAnsiTheme="minorHAnsi"/>
          <w:sz w:val="22"/>
          <w:szCs w:val="22"/>
        </w:rPr>
        <w:t>a</w:t>
      </w:r>
      <w:r w:rsidRPr="00BF3A40">
        <w:rPr>
          <w:rFonts w:asciiTheme="minorHAnsi" w:hAnsiTheme="minorHAnsi"/>
          <w:sz w:val="22"/>
          <w:szCs w:val="22"/>
        </w:rPr>
        <w:t>)</w:t>
      </w:r>
    </w:p>
    <w:p w:rsidR="00DF06BA" w:rsidRPr="00BF3A40" w:rsidRDefault="00DF06BA" w:rsidP="00DF06BA">
      <w:pPr>
        <w:pStyle w:val="ColumnBullet"/>
        <w:tabs>
          <w:tab w:val="clear" w:pos="360"/>
          <w:tab w:val="num" w:pos="540"/>
        </w:tabs>
        <w:spacing w:after="120"/>
        <w:ind w:left="522"/>
        <w:rPr>
          <w:rFonts w:asciiTheme="minorHAnsi" w:hAnsiTheme="minorHAnsi"/>
          <w:sz w:val="22"/>
          <w:szCs w:val="22"/>
        </w:rPr>
      </w:pPr>
      <w:r w:rsidRPr="00BF3A40">
        <w:rPr>
          <w:rFonts w:asciiTheme="minorHAnsi" w:hAnsiTheme="minorHAnsi"/>
          <w:sz w:val="22"/>
          <w:szCs w:val="22"/>
        </w:rPr>
        <w:t>Calculate the length of an arc in radians. (</w:t>
      </w:r>
      <w:r>
        <w:rPr>
          <w:rFonts w:asciiTheme="minorHAnsi" w:hAnsiTheme="minorHAnsi"/>
          <w:sz w:val="22"/>
          <w:szCs w:val="22"/>
        </w:rPr>
        <w:t>a</w:t>
      </w:r>
      <w:r w:rsidRPr="00BF3A40">
        <w:rPr>
          <w:rFonts w:asciiTheme="minorHAnsi" w:hAnsiTheme="minorHAnsi"/>
          <w:sz w:val="22"/>
          <w:szCs w:val="22"/>
        </w:rPr>
        <w:t>)</w:t>
      </w:r>
    </w:p>
    <w:p w:rsidR="00DF06BA" w:rsidRPr="00BF3A40" w:rsidRDefault="00DF06BA" w:rsidP="00DF06BA">
      <w:pPr>
        <w:pStyle w:val="ColumnBullet"/>
        <w:tabs>
          <w:tab w:val="clear" w:pos="360"/>
          <w:tab w:val="num" w:pos="540"/>
        </w:tabs>
        <w:spacing w:after="120"/>
        <w:ind w:left="522"/>
        <w:rPr>
          <w:rFonts w:asciiTheme="minorHAnsi" w:hAnsiTheme="minorHAnsi"/>
          <w:sz w:val="22"/>
          <w:szCs w:val="22"/>
        </w:rPr>
      </w:pPr>
      <w:r w:rsidRPr="00BF3A40">
        <w:rPr>
          <w:rFonts w:asciiTheme="minorHAnsi" w:hAnsiTheme="minorHAnsi"/>
          <w:sz w:val="22"/>
          <w:szCs w:val="22"/>
        </w:rPr>
        <w:t>Calculate the area of sectors in circles. (</w:t>
      </w:r>
      <w:r>
        <w:rPr>
          <w:rFonts w:asciiTheme="minorHAnsi" w:hAnsiTheme="minorHAnsi"/>
          <w:sz w:val="22"/>
          <w:szCs w:val="22"/>
        </w:rPr>
        <w:t>a</w:t>
      </w:r>
      <w:r w:rsidRPr="00BF3A40">
        <w:rPr>
          <w:rFonts w:asciiTheme="minorHAnsi" w:hAnsiTheme="minorHAnsi"/>
          <w:sz w:val="22"/>
          <w:szCs w:val="22"/>
        </w:rPr>
        <w:t>)</w:t>
      </w:r>
    </w:p>
    <w:p w:rsidR="00DF06BA" w:rsidRPr="00BF3A40" w:rsidRDefault="00DF06BA" w:rsidP="00DF06BA">
      <w:pPr>
        <w:pStyle w:val="ColumnBullet"/>
        <w:tabs>
          <w:tab w:val="clear" w:pos="360"/>
          <w:tab w:val="num" w:pos="540"/>
        </w:tabs>
        <w:spacing w:after="120"/>
        <w:ind w:left="522"/>
        <w:rPr>
          <w:rFonts w:asciiTheme="minorHAnsi" w:hAnsiTheme="minorHAnsi"/>
          <w:sz w:val="22"/>
          <w:szCs w:val="22"/>
        </w:rPr>
      </w:pPr>
      <w:r w:rsidRPr="00BF3A40">
        <w:rPr>
          <w:rFonts w:asciiTheme="minorHAnsi" w:hAnsiTheme="minorHAnsi"/>
          <w:sz w:val="22"/>
          <w:szCs w:val="22"/>
        </w:rPr>
        <w:t>Solve practical problems involving linear and angular velocity. (</w:t>
      </w:r>
      <w:r>
        <w:rPr>
          <w:rFonts w:asciiTheme="minorHAnsi" w:hAnsiTheme="minorHAnsi"/>
          <w:sz w:val="22"/>
          <w:szCs w:val="22"/>
        </w:rPr>
        <w:t>b</w:t>
      </w:r>
      <w:r w:rsidRPr="00BF3A40">
        <w:rPr>
          <w:rFonts w:asciiTheme="minorHAnsi" w:hAnsiTheme="minorHAnsi"/>
          <w:sz w:val="22"/>
          <w:szCs w:val="22"/>
        </w:rPr>
        <w:t>)</w:t>
      </w:r>
    </w:p>
    <w:p w:rsidR="003428FC" w:rsidRDefault="003428FC" w:rsidP="003428FC"/>
    <w:sectPr w:rsidR="003428FC" w:rsidSect="0035641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5CD" w:rsidRDefault="003E75CD">
      <w:r>
        <w:separator/>
      </w:r>
    </w:p>
  </w:endnote>
  <w:endnote w:type="continuationSeparator" w:id="0">
    <w:p w:rsidR="003E75CD" w:rsidRDefault="003E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5CD" w:rsidRDefault="003E75CD">
      <w:r>
        <w:separator/>
      </w:r>
    </w:p>
  </w:footnote>
  <w:footnote w:type="continuationSeparator" w:id="0">
    <w:p w:rsidR="003E75CD" w:rsidRDefault="003E7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2" w15:restartNumberingAfterBreak="0">
    <w:nsid w:val="067446E5"/>
    <w:multiLevelType w:val="hybridMultilevel"/>
    <w:tmpl w:val="F6721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C7744F"/>
    <w:multiLevelType w:val="hybridMultilevel"/>
    <w:tmpl w:val="844281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8A0450"/>
    <w:multiLevelType w:val="hybridMultilevel"/>
    <w:tmpl w:val="267CD7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16" w15:restartNumberingAfterBreak="0">
    <w:nsid w:val="51EC0E10"/>
    <w:multiLevelType w:val="hybridMultilevel"/>
    <w:tmpl w:val="3CB09E88"/>
    <w:lvl w:ilvl="0" w:tplc="04090001">
      <w:start w:val="1"/>
      <w:numFmt w:val="bullet"/>
      <w:lvlText w:val=""/>
      <w:lvlJc w:val="left"/>
      <w:pPr>
        <w:ind w:left="720" w:hanging="360"/>
      </w:pPr>
      <w:rPr>
        <w:rFonts w:ascii="Symbol" w:hAnsi="Symbol" w:hint="default"/>
      </w:rPr>
    </w:lvl>
    <w:lvl w:ilvl="1" w:tplc="1E8A04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18" w15:restartNumberingAfterBreak="0">
    <w:nsid w:val="66505864"/>
    <w:multiLevelType w:val="hybridMultilevel"/>
    <w:tmpl w:val="5454828A"/>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0EB0"/>
    <w:multiLevelType w:val="hybridMultilevel"/>
    <w:tmpl w:val="621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9"/>
  </w:num>
  <w:num w:numId="17">
    <w:abstractNumId w:val="16"/>
  </w:num>
  <w:num w:numId="18">
    <w:abstractNumId w:val="12"/>
  </w:num>
  <w:num w:numId="19">
    <w:abstractNumId w:val="13"/>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121E"/>
    <w:rsid w:val="0000150E"/>
    <w:rsid w:val="00004E96"/>
    <w:rsid w:val="00010BC6"/>
    <w:rsid w:val="000119E4"/>
    <w:rsid w:val="00015B42"/>
    <w:rsid w:val="0001763B"/>
    <w:rsid w:val="000226A7"/>
    <w:rsid w:val="00022BA9"/>
    <w:rsid w:val="00025D40"/>
    <w:rsid w:val="00027BD5"/>
    <w:rsid w:val="00033CB9"/>
    <w:rsid w:val="0004239B"/>
    <w:rsid w:val="00044F63"/>
    <w:rsid w:val="000458C4"/>
    <w:rsid w:val="00056021"/>
    <w:rsid w:val="000578A8"/>
    <w:rsid w:val="00060291"/>
    <w:rsid w:val="00062570"/>
    <w:rsid w:val="00066EDD"/>
    <w:rsid w:val="00067442"/>
    <w:rsid w:val="0007193E"/>
    <w:rsid w:val="00071F5A"/>
    <w:rsid w:val="00072A04"/>
    <w:rsid w:val="000739A1"/>
    <w:rsid w:val="00076B1A"/>
    <w:rsid w:val="00076CB8"/>
    <w:rsid w:val="00083D04"/>
    <w:rsid w:val="00084999"/>
    <w:rsid w:val="0008504A"/>
    <w:rsid w:val="00087A7F"/>
    <w:rsid w:val="00087BD5"/>
    <w:rsid w:val="00090710"/>
    <w:rsid w:val="00091219"/>
    <w:rsid w:val="000914DD"/>
    <w:rsid w:val="00093D0A"/>
    <w:rsid w:val="000A02F9"/>
    <w:rsid w:val="000A4386"/>
    <w:rsid w:val="000A5C79"/>
    <w:rsid w:val="000A61B2"/>
    <w:rsid w:val="000A7BCB"/>
    <w:rsid w:val="000B1651"/>
    <w:rsid w:val="000B1932"/>
    <w:rsid w:val="000B1A08"/>
    <w:rsid w:val="000B207F"/>
    <w:rsid w:val="000B21D0"/>
    <w:rsid w:val="000B3A9C"/>
    <w:rsid w:val="000B477F"/>
    <w:rsid w:val="000B51E6"/>
    <w:rsid w:val="000B7835"/>
    <w:rsid w:val="000C0343"/>
    <w:rsid w:val="000C0578"/>
    <w:rsid w:val="000C2BDC"/>
    <w:rsid w:val="000C300B"/>
    <w:rsid w:val="000C600A"/>
    <w:rsid w:val="000C6697"/>
    <w:rsid w:val="000C7FF8"/>
    <w:rsid w:val="000D09F4"/>
    <w:rsid w:val="000D1F80"/>
    <w:rsid w:val="000D2E4B"/>
    <w:rsid w:val="000D4275"/>
    <w:rsid w:val="000D4B25"/>
    <w:rsid w:val="000D7989"/>
    <w:rsid w:val="000D7C32"/>
    <w:rsid w:val="000E19A7"/>
    <w:rsid w:val="000E25B4"/>
    <w:rsid w:val="000E3334"/>
    <w:rsid w:val="000E3930"/>
    <w:rsid w:val="000E3B88"/>
    <w:rsid w:val="000E3D52"/>
    <w:rsid w:val="000E60DB"/>
    <w:rsid w:val="000E6652"/>
    <w:rsid w:val="000F159B"/>
    <w:rsid w:val="000F2156"/>
    <w:rsid w:val="000F270D"/>
    <w:rsid w:val="000F28E7"/>
    <w:rsid w:val="000F405D"/>
    <w:rsid w:val="000F6FED"/>
    <w:rsid w:val="000F740B"/>
    <w:rsid w:val="00103E9F"/>
    <w:rsid w:val="00104189"/>
    <w:rsid w:val="0010504E"/>
    <w:rsid w:val="00106EA7"/>
    <w:rsid w:val="001078A7"/>
    <w:rsid w:val="00107B12"/>
    <w:rsid w:val="00107DA4"/>
    <w:rsid w:val="00112B31"/>
    <w:rsid w:val="00112FA8"/>
    <w:rsid w:val="00113634"/>
    <w:rsid w:val="00113DEB"/>
    <w:rsid w:val="001148AD"/>
    <w:rsid w:val="0011738A"/>
    <w:rsid w:val="00120F01"/>
    <w:rsid w:val="00121660"/>
    <w:rsid w:val="00123494"/>
    <w:rsid w:val="00125857"/>
    <w:rsid w:val="00125A68"/>
    <w:rsid w:val="00125AC8"/>
    <w:rsid w:val="001274DD"/>
    <w:rsid w:val="001338DC"/>
    <w:rsid w:val="00133D3A"/>
    <w:rsid w:val="001349D5"/>
    <w:rsid w:val="00135E33"/>
    <w:rsid w:val="00146297"/>
    <w:rsid w:val="0014642B"/>
    <w:rsid w:val="001473D2"/>
    <w:rsid w:val="001505EC"/>
    <w:rsid w:val="0015076D"/>
    <w:rsid w:val="001534CA"/>
    <w:rsid w:val="00156E0E"/>
    <w:rsid w:val="00161C14"/>
    <w:rsid w:val="00163B97"/>
    <w:rsid w:val="001646DF"/>
    <w:rsid w:val="0016688F"/>
    <w:rsid w:val="00170B51"/>
    <w:rsid w:val="00171663"/>
    <w:rsid w:val="001728B3"/>
    <w:rsid w:val="00172DEA"/>
    <w:rsid w:val="00173711"/>
    <w:rsid w:val="00173BF8"/>
    <w:rsid w:val="00174B38"/>
    <w:rsid w:val="00177425"/>
    <w:rsid w:val="00180F78"/>
    <w:rsid w:val="00181E8D"/>
    <w:rsid w:val="00181F75"/>
    <w:rsid w:val="001840A1"/>
    <w:rsid w:val="00185465"/>
    <w:rsid w:val="00187EA0"/>
    <w:rsid w:val="0019085B"/>
    <w:rsid w:val="001919D9"/>
    <w:rsid w:val="00191D35"/>
    <w:rsid w:val="0019256D"/>
    <w:rsid w:val="00192C12"/>
    <w:rsid w:val="001934C7"/>
    <w:rsid w:val="001936A8"/>
    <w:rsid w:val="00194DC2"/>
    <w:rsid w:val="001964AD"/>
    <w:rsid w:val="00197329"/>
    <w:rsid w:val="00197BDD"/>
    <w:rsid w:val="00197DCC"/>
    <w:rsid w:val="001A0226"/>
    <w:rsid w:val="001A0613"/>
    <w:rsid w:val="001A073F"/>
    <w:rsid w:val="001A0764"/>
    <w:rsid w:val="001A1F7D"/>
    <w:rsid w:val="001A6837"/>
    <w:rsid w:val="001A7119"/>
    <w:rsid w:val="001B0715"/>
    <w:rsid w:val="001B142C"/>
    <w:rsid w:val="001B1EFC"/>
    <w:rsid w:val="001B2F3E"/>
    <w:rsid w:val="001B34A3"/>
    <w:rsid w:val="001B3840"/>
    <w:rsid w:val="001B3DCA"/>
    <w:rsid w:val="001B3F88"/>
    <w:rsid w:val="001B6EFA"/>
    <w:rsid w:val="001B76F8"/>
    <w:rsid w:val="001C0905"/>
    <w:rsid w:val="001C153A"/>
    <w:rsid w:val="001C349E"/>
    <w:rsid w:val="001C3514"/>
    <w:rsid w:val="001C4F40"/>
    <w:rsid w:val="001C6E05"/>
    <w:rsid w:val="001C715F"/>
    <w:rsid w:val="001C7C6E"/>
    <w:rsid w:val="001D1490"/>
    <w:rsid w:val="001D32FF"/>
    <w:rsid w:val="001D3673"/>
    <w:rsid w:val="001D39C4"/>
    <w:rsid w:val="001D5070"/>
    <w:rsid w:val="001D524B"/>
    <w:rsid w:val="001D564C"/>
    <w:rsid w:val="001D7EDC"/>
    <w:rsid w:val="001E0757"/>
    <w:rsid w:val="001E0835"/>
    <w:rsid w:val="001E0D90"/>
    <w:rsid w:val="001E1B2E"/>
    <w:rsid w:val="001E3023"/>
    <w:rsid w:val="001E4002"/>
    <w:rsid w:val="001E4BBC"/>
    <w:rsid w:val="001E5374"/>
    <w:rsid w:val="001E5D75"/>
    <w:rsid w:val="001F01F4"/>
    <w:rsid w:val="001F0CC7"/>
    <w:rsid w:val="001F152D"/>
    <w:rsid w:val="001F2427"/>
    <w:rsid w:val="001F38DE"/>
    <w:rsid w:val="001F43E9"/>
    <w:rsid w:val="001F5BF2"/>
    <w:rsid w:val="001F5E4C"/>
    <w:rsid w:val="001F6A49"/>
    <w:rsid w:val="001F7823"/>
    <w:rsid w:val="001F7A7A"/>
    <w:rsid w:val="00200CF0"/>
    <w:rsid w:val="00202046"/>
    <w:rsid w:val="0020444E"/>
    <w:rsid w:val="00207609"/>
    <w:rsid w:val="00212898"/>
    <w:rsid w:val="00213FDD"/>
    <w:rsid w:val="002202A6"/>
    <w:rsid w:val="00221F90"/>
    <w:rsid w:val="0022210F"/>
    <w:rsid w:val="0022416F"/>
    <w:rsid w:val="00226920"/>
    <w:rsid w:val="00226C7B"/>
    <w:rsid w:val="00231EC9"/>
    <w:rsid w:val="00232A8A"/>
    <w:rsid w:val="00234669"/>
    <w:rsid w:val="00234C21"/>
    <w:rsid w:val="002354CB"/>
    <w:rsid w:val="0023754F"/>
    <w:rsid w:val="0023764B"/>
    <w:rsid w:val="00237F58"/>
    <w:rsid w:val="002409F0"/>
    <w:rsid w:val="00240C9C"/>
    <w:rsid w:val="00242576"/>
    <w:rsid w:val="00243C36"/>
    <w:rsid w:val="00244D3E"/>
    <w:rsid w:val="00245456"/>
    <w:rsid w:val="00251B9C"/>
    <w:rsid w:val="00253464"/>
    <w:rsid w:val="0025357B"/>
    <w:rsid w:val="00253A03"/>
    <w:rsid w:val="00254C3D"/>
    <w:rsid w:val="00255C31"/>
    <w:rsid w:val="00256150"/>
    <w:rsid w:val="0025722F"/>
    <w:rsid w:val="00261B15"/>
    <w:rsid w:val="00261B21"/>
    <w:rsid w:val="00262924"/>
    <w:rsid w:val="0026488D"/>
    <w:rsid w:val="00264931"/>
    <w:rsid w:val="00264BA0"/>
    <w:rsid w:val="00265E32"/>
    <w:rsid w:val="00271FDE"/>
    <w:rsid w:val="00274311"/>
    <w:rsid w:val="00274567"/>
    <w:rsid w:val="00276C01"/>
    <w:rsid w:val="00281724"/>
    <w:rsid w:val="002820F3"/>
    <w:rsid w:val="002830CB"/>
    <w:rsid w:val="002835CA"/>
    <w:rsid w:val="00284011"/>
    <w:rsid w:val="00284A8D"/>
    <w:rsid w:val="00284ACF"/>
    <w:rsid w:val="002861E0"/>
    <w:rsid w:val="002871E6"/>
    <w:rsid w:val="0028742B"/>
    <w:rsid w:val="002914E7"/>
    <w:rsid w:val="00292E91"/>
    <w:rsid w:val="00292EA9"/>
    <w:rsid w:val="00294118"/>
    <w:rsid w:val="00295E94"/>
    <w:rsid w:val="002A02E6"/>
    <w:rsid w:val="002A1455"/>
    <w:rsid w:val="002A2ACF"/>
    <w:rsid w:val="002A4717"/>
    <w:rsid w:val="002A6810"/>
    <w:rsid w:val="002B070F"/>
    <w:rsid w:val="002B1D1E"/>
    <w:rsid w:val="002B20CF"/>
    <w:rsid w:val="002B2F96"/>
    <w:rsid w:val="002B5020"/>
    <w:rsid w:val="002B6C65"/>
    <w:rsid w:val="002C4B6F"/>
    <w:rsid w:val="002C589F"/>
    <w:rsid w:val="002C5CCE"/>
    <w:rsid w:val="002C680A"/>
    <w:rsid w:val="002D02BF"/>
    <w:rsid w:val="002D0A5F"/>
    <w:rsid w:val="002D369E"/>
    <w:rsid w:val="002E1010"/>
    <w:rsid w:val="002E26AF"/>
    <w:rsid w:val="002E335A"/>
    <w:rsid w:val="002E6185"/>
    <w:rsid w:val="002E67F2"/>
    <w:rsid w:val="002E6FB6"/>
    <w:rsid w:val="002F0740"/>
    <w:rsid w:val="002F2CD1"/>
    <w:rsid w:val="002F2F1E"/>
    <w:rsid w:val="002F3410"/>
    <w:rsid w:val="002F354E"/>
    <w:rsid w:val="002F4A42"/>
    <w:rsid w:val="002F59F7"/>
    <w:rsid w:val="002F65A4"/>
    <w:rsid w:val="002F6C1A"/>
    <w:rsid w:val="002F796D"/>
    <w:rsid w:val="00302F02"/>
    <w:rsid w:val="00304FAD"/>
    <w:rsid w:val="00305A6E"/>
    <w:rsid w:val="00305AF8"/>
    <w:rsid w:val="0030648D"/>
    <w:rsid w:val="00307C3F"/>
    <w:rsid w:val="003103DA"/>
    <w:rsid w:val="00311FE9"/>
    <w:rsid w:val="00312EA3"/>
    <w:rsid w:val="003133FD"/>
    <w:rsid w:val="003155B1"/>
    <w:rsid w:val="00316766"/>
    <w:rsid w:val="0031771F"/>
    <w:rsid w:val="00317A49"/>
    <w:rsid w:val="003217AB"/>
    <w:rsid w:val="0032324A"/>
    <w:rsid w:val="003233D7"/>
    <w:rsid w:val="003251B5"/>
    <w:rsid w:val="0032599F"/>
    <w:rsid w:val="0032680B"/>
    <w:rsid w:val="00327F5F"/>
    <w:rsid w:val="00330AB8"/>
    <w:rsid w:val="00330AF1"/>
    <w:rsid w:val="00331529"/>
    <w:rsid w:val="00331AD7"/>
    <w:rsid w:val="00331DFC"/>
    <w:rsid w:val="00333646"/>
    <w:rsid w:val="00340D7C"/>
    <w:rsid w:val="00340E84"/>
    <w:rsid w:val="003413E6"/>
    <w:rsid w:val="00341562"/>
    <w:rsid w:val="003428FC"/>
    <w:rsid w:val="0034400B"/>
    <w:rsid w:val="00344BEC"/>
    <w:rsid w:val="00345DE4"/>
    <w:rsid w:val="00345F72"/>
    <w:rsid w:val="00346F34"/>
    <w:rsid w:val="003526E8"/>
    <w:rsid w:val="00355166"/>
    <w:rsid w:val="00356415"/>
    <w:rsid w:val="00356DF5"/>
    <w:rsid w:val="00357661"/>
    <w:rsid w:val="00357B46"/>
    <w:rsid w:val="00361082"/>
    <w:rsid w:val="00362451"/>
    <w:rsid w:val="0036599B"/>
    <w:rsid w:val="00366566"/>
    <w:rsid w:val="0037054A"/>
    <w:rsid w:val="00370C7D"/>
    <w:rsid w:val="00371CA0"/>
    <w:rsid w:val="00375AB8"/>
    <w:rsid w:val="00376800"/>
    <w:rsid w:val="00377A6E"/>
    <w:rsid w:val="00383CEB"/>
    <w:rsid w:val="00390285"/>
    <w:rsid w:val="00391E76"/>
    <w:rsid w:val="00395865"/>
    <w:rsid w:val="003966CD"/>
    <w:rsid w:val="00397BAB"/>
    <w:rsid w:val="003A07C0"/>
    <w:rsid w:val="003A17D7"/>
    <w:rsid w:val="003A18BF"/>
    <w:rsid w:val="003A2C1A"/>
    <w:rsid w:val="003A5AA2"/>
    <w:rsid w:val="003A693F"/>
    <w:rsid w:val="003A6F52"/>
    <w:rsid w:val="003B04B8"/>
    <w:rsid w:val="003B0C47"/>
    <w:rsid w:val="003B247F"/>
    <w:rsid w:val="003B30A3"/>
    <w:rsid w:val="003B3EA6"/>
    <w:rsid w:val="003B7BC4"/>
    <w:rsid w:val="003C0AC6"/>
    <w:rsid w:val="003C0B22"/>
    <w:rsid w:val="003C1381"/>
    <w:rsid w:val="003C2536"/>
    <w:rsid w:val="003C455E"/>
    <w:rsid w:val="003C6944"/>
    <w:rsid w:val="003C72C2"/>
    <w:rsid w:val="003C7FEB"/>
    <w:rsid w:val="003D2CFF"/>
    <w:rsid w:val="003D4B59"/>
    <w:rsid w:val="003D59DC"/>
    <w:rsid w:val="003D6042"/>
    <w:rsid w:val="003D6FCF"/>
    <w:rsid w:val="003D7C18"/>
    <w:rsid w:val="003E0ADB"/>
    <w:rsid w:val="003E2C86"/>
    <w:rsid w:val="003E4228"/>
    <w:rsid w:val="003E657A"/>
    <w:rsid w:val="003E6B5F"/>
    <w:rsid w:val="003E72B1"/>
    <w:rsid w:val="003E75CD"/>
    <w:rsid w:val="003E798E"/>
    <w:rsid w:val="003F096B"/>
    <w:rsid w:val="003F153B"/>
    <w:rsid w:val="003F2906"/>
    <w:rsid w:val="003F3D36"/>
    <w:rsid w:val="003F562E"/>
    <w:rsid w:val="003F5D33"/>
    <w:rsid w:val="003F6B6C"/>
    <w:rsid w:val="003F724F"/>
    <w:rsid w:val="003F763F"/>
    <w:rsid w:val="004001DA"/>
    <w:rsid w:val="004003D9"/>
    <w:rsid w:val="00400D10"/>
    <w:rsid w:val="00401FE8"/>
    <w:rsid w:val="00402064"/>
    <w:rsid w:val="00404FF8"/>
    <w:rsid w:val="0040524B"/>
    <w:rsid w:val="0040634D"/>
    <w:rsid w:val="00411A59"/>
    <w:rsid w:val="00417112"/>
    <w:rsid w:val="0041766F"/>
    <w:rsid w:val="00417E10"/>
    <w:rsid w:val="004209AB"/>
    <w:rsid w:val="00420C7C"/>
    <w:rsid w:val="00422FF1"/>
    <w:rsid w:val="0042410F"/>
    <w:rsid w:val="00424200"/>
    <w:rsid w:val="00424E5F"/>
    <w:rsid w:val="00426982"/>
    <w:rsid w:val="00426C60"/>
    <w:rsid w:val="00427005"/>
    <w:rsid w:val="0042799D"/>
    <w:rsid w:val="004319DB"/>
    <w:rsid w:val="0043342A"/>
    <w:rsid w:val="00434FA6"/>
    <w:rsid w:val="0043620E"/>
    <w:rsid w:val="00436FB7"/>
    <w:rsid w:val="00437063"/>
    <w:rsid w:val="004405E7"/>
    <w:rsid w:val="00440D5E"/>
    <w:rsid w:val="00441581"/>
    <w:rsid w:val="00442034"/>
    <w:rsid w:val="0044322A"/>
    <w:rsid w:val="00444CB2"/>
    <w:rsid w:val="00446C4C"/>
    <w:rsid w:val="0044721A"/>
    <w:rsid w:val="0045168E"/>
    <w:rsid w:val="00451732"/>
    <w:rsid w:val="00452FF0"/>
    <w:rsid w:val="00453A1F"/>
    <w:rsid w:val="0045450C"/>
    <w:rsid w:val="00454CAF"/>
    <w:rsid w:val="0045730F"/>
    <w:rsid w:val="00457942"/>
    <w:rsid w:val="00460366"/>
    <w:rsid w:val="00463A86"/>
    <w:rsid w:val="00465554"/>
    <w:rsid w:val="0046608C"/>
    <w:rsid w:val="0047108E"/>
    <w:rsid w:val="00473C74"/>
    <w:rsid w:val="004746E0"/>
    <w:rsid w:val="004764FC"/>
    <w:rsid w:val="00480EE8"/>
    <w:rsid w:val="00481CF6"/>
    <w:rsid w:val="00483B4A"/>
    <w:rsid w:val="00485A64"/>
    <w:rsid w:val="00486DD5"/>
    <w:rsid w:val="00487B9B"/>
    <w:rsid w:val="004901F5"/>
    <w:rsid w:val="00491C52"/>
    <w:rsid w:val="00496301"/>
    <w:rsid w:val="004967A4"/>
    <w:rsid w:val="004A044F"/>
    <w:rsid w:val="004A19D7"/>
    <w:rsid w:val="004A2DF5"/>
    <w:rsid w:val="004A57BA"/>
    <w:rsid w:val="004A7063"/>
    <w:rsid w:val="004A716B"/>
    <w:rsid w:val="004A7B1F"/>
    <w:rsid w:val="004A7C8C"/>
    <w:rsid w:val="004A7FFD"/>
    <w:rsid w:val="004B17E8"/>
    <w:rsid w:val="004B3805"/>
    <w:rsid w:val="004B43E5"/>
    <w:rsid w:val="004B688A"/>
    <w:rsid w:val="004B76B6"/>
    <w:rsid w:val="004C39B7"/>
    <w:rsid w:val="004C45FF"/>
    <w:rsid w:val="004C4E86"/>
    <w:rsid w:val="004C64D5"/>
    <w:rsid w:val="004C7659"/>
    <w:rsid w:val="004D062B"/>
    <w:rsid w:val="004D0F56"/>
    <w:rsid w:val="004D15F6"/>
    <w:rsid w:val="004D220D"/>
    <w:rsid w:val="004D5E45"/>
    <w:rsid w:val="004D5F7A"/>
    <w:rsid w:val="004D6426"/>
    <w:rsid w:val="004E05CD"/>
    <w:rsid w:val="004E0762"/>
    <w:rsid w:val="004E36F3"/>
    <w:rsid w:val="004E39EE"/>
    <w:rsid w:val="004E3E44"/>
    <w:rsid w:val="004E5531"/>
    <w:rsid w:val="004E565E"/>
    <w:rsid w:val="004E6629"/>
    <w:rsid w:val="004E736B"/>
    <w:rsid w:val="004F0770"/>
    <w:rsid w:val="004F1282"/>
    <w:rsid w:val="004F4A0B"/>
    <w:rsid w:val="004F4E4B"/>
    <w:rsid w:val="004F6380"/>
    <w:rsid w:val="004F63AF"/>
    <w:rsid w:val="004F643C"/>
    <w:rsid w:val="004F6BD3"/>
    <w:rsid w:val="004F6DE1"/>
    <w:rsid w:val="004F7FF8"/>
    <w:rsid w:val="00500A51"/>
    <w:rsid w:val="00504863"/>
    <w:rsid w:val="00504ECA"/>
    <w:rsid w:val="005066B4"/>
    <w:rsid w:val="00506C40"/>
    <w:rsid w:val="00507666"/>
    <w:rsid w:val="0051009E"/>
    <w:rsid w:val="005140C8"/>
    <w:rsid w:val="00514E30"/>
    <w:rsid w:val="00517D70"/>
    <w:rsid w:val="00517DAC"/>
    <w:rsid w:val="00521DFE"/>
    <w:rsid w:val="00522AD7"/>
    <w:rsid w:val="00522C43"/>
    <w:rsid w:val="00522E4C"/>
    <w:rsid w:val="00523E4C"/>
    <w:rsid w:val="0052413A"/>
    <w:rsid w:val="005265FC"/>
    <w:rsid w:val="005273E8"/>
    <w:rsid w:val="005303DA"/>
    <w:rsid w:val="00530E3E"/>
    <w:rsid w:val="0053126E"/>
    <w:rsid w:val="00533F1A"/>
    <w:rsid w:val="00533FD9"/>
    <w:rsid w:val="00535956"/>
    <w:rsid w:val="00535DB1"/>
    <w:rsid w:val="00535DB8"/>
    <w:rsid w:val="0053686C"/>
    <w:rsid w:val="00536F84"/>
    <w:rsid w:val="00537F06"/>
    <w:rsid w:val="005405F0"/>
    <w:rsid w:val="0054374E"/>
    <w:rsid w:val="005456ED"/>
    <w:rsid w:val="005504C7"/>
    <w:rsid w:val="005519EC"/>
    <w:rsid w:val="005559A2"/>
    <w:rsid w:val="00555DDE"/>
    <w:rsid w:val="005564E8"/>
    <w:rsid w:val="005575D6"/>
    <w:rsid w:val="00557AA2"/>
    <w:rsid w:val="00561E28"/>
    <w:rsid w:val="00562445"/>
    <w:rsid w:val="00562A00"/>
    <w:rsid w:val="00562C27"/>
    <w:rsid w:val="005631AC"/>
    <w:rsid w:val="00563721"/>
    <w:rsid w:val="0057007F"/>
    <w:rsid w:val="00571334"/>
    <w:rsid w:val="0057311A"/>
    <w:rsid w:val="00573657"/>
    <w:rsid w:val="00573C40"/>
    <w:rsid w:val="0057595D"/>
    <w:rsid w:val="00580010"/>
    <w:rsid w:val="00580571"/>
    <w:rsid w:val="00581F85"/>
    <w:rsid w:val="0058216E"/>
    <w:rsid w:val="00585546"/>
    <w:rsid w:val="00585F44"/>
    <w:rsid w:val="00586DB6"/>
    <w:rsid w:val="00586E39"/>
    <w:rsid w:val="005923D1"/>
    <w:rsid w:val="00592579"/>
    <w:rsid w:val="00592779"/>
    <w:rsid w:val="00592B42"/>
    <w:rsid w:val="00595961"/>
    <w:rsid w:val="005967C5"/>
    <w:rsid w:val="005A05F0"/>
    <w:rsid w:val="005A1394"/>
    <w:rsid w:val="005A230A"/>
    <w:rsid w:val="005A2F5C"/>
    <w:rsid w:val="005A37FF"/>
    <w:rsid w:val="005A45D6"/>
    <w:rsid w:val="005A62B6"/>
    <w:rsid w:val="005A7023"/>
    <w:rsid w:val="005B121A"/>
    <w:rsid w:val="005B49E3"/>
    <w:rsid w:val="005B52FB"/>
    <w:rsid w:val="005B56F5"/>
    <w:rsid w:val="005B5B60"/>
    <w:rsid w:val="005C0397"/>
    <w:rsid w:val="005C1180"/>
    <w:rsid w:val="005C272B"/>
    <w:rsid w:val="005C3646"/>
    <w:rsid w:val="005C4669"/>
    <w:rsid w:val="005C4911"/>
    <w:rsid w:val="005C7134"/>
    <w:rsid w:val="005C75D5"/>
    <w:rsid w:val="005D1D2D"/>
    <w:rsid w:val="005D1EBF"/>
    <w:rsid w:val="005D3F71"/>
    <w:rsid w:val="005D644C"/>
    <w:rsid w:val="005D6E20"/>
    <w:rsid w:val="005E0034"/>
    <w:rsid w:val="005E0539"/>
    <w:rsid w:val="005E0751"/>
    <w:rsid w:val="005E086F"/>
    <w:rsid w:val="005E281D"/>
    <w:rsid w:val="005E336B"/>
    <w:rsid w:val="005E3E50"/>
    <w:rsid w:val="005E3F6C"/>
    <w:rsid w:val="005E47A4"/>
    <w:rsid w:val="005E5D51"/>
    <w:rsid w:val="005E6589"/>
    <w:rsid w:val="005E7D5C"/>
    <w:rsid w:val="005F09B1"/>
    <w:rsid w:val="005F20CD"/>
    <w:rsid w:val="005F39B4"/>
    <w:rsid w:val="005F5EA0"/>
    <w:rsid w:val="005F5F5B"/>
    <w:rsid w:val="005F7CD4"/>
    <w:rsid w:val="006020EA"/>
    <w:rsid w:val="0060225F"/>
    <w:rsid w:val="006023E1"/>
    <w:rsid w:val="00603904"/>
    <w:rsid w:val="00603FB4"/>
    <w:rsid w:val="00604A10"/>
    <w:rsid w:val="00604A33"/>
    <w:rsid w:val="0060562C"/>
    <w:rsid w:val="00606BC4"/>
    <w:rsid w:val="00611AF1"/>
    <w:rsid w:val="006136B4"/>
    <w:rsid w:val="00615DFF"/>
    <w:rsid w:val="0062035A"/>
    <w:rsid w:val="00620969"/>
    <w:rsid w:val="00620FD2"/>
    <w:rsid w:val="006248AB"/>
    <w:rsid w:val="00624C11"/>
    <w:rsid w:val="00625585"/>
    <w:rsid w:val="006259A9"/>
    <w:rsid w:val="00625A9D"/>
    <w:rsid w:val="00627657"/>
    <w:rsid w:val="00630AAC"/>
    <w:rsid w:val="00630FC7"/>
    <w:rsid w:val="006322FC"/>
    <w:rsid w:val="00632AD6"/>
    <w:rsid w:val="0063383C"/>
    <w:rsid w:val="00634A98"/>
    <w:rsid w:val="006350D1"/>
    <w:rsid w:val="00635A6B"/>
    <w:rsid w:val="00635BA8"/>
    <w:rsid w:val="00636688"/>
    <w:rsid w:val="00636951"/>
    <w:rsid w:val="00637494"/>
    <w:rsid w:val="00640F16"/>
    <w:rsid w:val="00642557"/>
    <w:rsid w:val="0064256A"/>
    <w:rsid w:val="006461F9"/>
    <w:rsid w:val="00646EF2"/>
    <w:rsid w:val="00647DA6"/>
    <w:rsid w:val="00654280"/>
    <w:rsid w:val="00654F15"/>
    <w:rsid w:val="0065556F"/>
    <w:rsid w:val="00656099"/>
    <w:rsid w:val="00656109"/>
    <w:rsid w:val="00657300"/>
    <w:rsid w:val="00657547"/>
    <w:rsid w:val="00660D90"/>
    <w:rsid w:val="00661408"/>
    <w:rsid w:val="00661812"/>
    <w:rsid w:val="00661890"/>
    <w:rsid w:val="00662DED"/>
    <w:rsid w:val="00663561"/>
    <w:rsid w:val="00665510"/>
    <w:rsid w:val="006659C6"/>
    <w:rsid w:val="006718F0"/>
    <w:rsid w:val="00672C67"/>
    <w:rsid w:val="00673FBE"/>
    <w:rsid w:val="00674321"/>
    <w:rsid w:val="00674517"/>
    <w:rsid w:val="00676996"/>
    <w:rsid w:val="00677583"/>
    <w:rsid w:val="00680812"/>
    <w:rsid w:val="00681E6F"/>
    <w:rsid w:val="00682CBB"/>
    <w:rsid w:val="006846CB"/>
    <w:rsid w:val="00684737"/>
    <w:rsid w:val="0068476F"/>
    <w:rsid w:val="006854ED"/>
    <w:rsid w:val="006878D5"/>
    <w:rsid w:val="0069060F"/>
    <w:rsid w:val="0069138B"/>
    <w:rsid w:val="00694494"/>
    <w:rsid w:val="00694A2F"/>
    <w:rsid w:val="00697014"/>
    <w:rsid w:val="00697394"/>
    <w:rsid w:val="006975ED"/>
    <w:rsid w:val="00697667"/>
    <w:rsid w:val="006976B5"/>
    <w:rsid w:val="00697C2D"/>
    <w:rsid w:val="006A5FDB"/>
    <w:rsid w:val="006A6117"/>
    <w:rsid w:val="006B064D"/>
    <w:rsid w:val="006B13A6"/>
    <w:rsid w:val="006B226C"/>
    <w:rsid w:val="006B498D"/>
    <w:rsid w:val="006B600E"/>
    <w:rsid w:val="006B6996"/>
    <w:rsid w:val="006B735B"/>
    <w:rsid w:val="006C139F"/>
    <w:rsid w:val="006C2E1D"/>
    <w:rsid w:val="006C34FB"/>
    <w:rsid w:val="006C3D1D"/>
    <w:rsid w:val="006C5723"/>
    <w:rsid w:val="006C6169"/>
    <w:rsid w:val="006D109D"/>
    <w:rsid w:val="006D3B23"/>
    <w:rsid w:val="006E0AA9"/>
    <w:rsid w:val="006E2492"/>
    <w:rsid w:val="006E55BA"/>
    <w:rsid w:val="006E5673"/>
    <w:rsid w:val="006F09E2"/>
    <w:rsid w:val="006F1C1B"/>
    <w:rsid w:val="006F4CF7"/>
    <w:rsid w:val="006F4E35"/>
    <w:rsid w:val="006F4F5F"/>
    <w:rsid w:val="006F58C9"/>
    <w:rsid w:val="006F5E53"/>
    <w:rsid w:val="006F61B7"/>
    <w:rsid w:val="006F7DD4"/>
    <w:rsid w:val="00700930"/>
    <w:rsid w:val="007034E4"/>
    <w:rsid w:val="007050A8"/>
    <w:rsid w:val="00705F99"/>
    <w:rsid w:val="00706CCB"/>
    <w:rsid w:val="0071013E"/>
    <w:rsid w:val="007112BC"/>
    <w:rsid w:val="00714C4F"/>
    <w:rsid w:val="007154C3"/>
    <w:rsid w:val="00716434"/>
    <w:rsid w:val="0072407B"/>
    <w:rsid w:val="00724161"/>
    <w:rsid w:val="0072608B"/>
    <w:rsid w:val="007274B1"/>
    <w:rsid w:val="00727F46"/>
    <w:rsid w:val="007323C6"/>
    <w:rsid w:val="007342BD"/>
    <w:rsid w:val="00735463"/>
    <w:rsid w:val="00735B6D"/>
    <w:rsid w:val="00735D2A"/>
    <w:rsid w:val="00736CF9"/>
    <w:rsid w:val="00742476"/>
    <w:rsid w:val="00743E4F"/>
    <w:rsid w:val="00744AC8"/>
    <w:rsid w:val="00745312"/>
    <w:rsid w:val="007461BD"/>
    <w:rsid w:val="007479EA"/>
    <w:rsid w:val="007507C3"/>
    <w:rsid w:val="0075198A"/>
    <w:rsid w:val="00751C09"/>
    <w:rsid w:val="00752694"/>
    <w:rsid w:val="007526E0"/>
    <w:rsid w:val="00752A74"/>
    <w:rsid w:val="007536D6"/>
    <w:rsid w:val="00753925"/>
    <w:rsid w:val="00755B2D"/>
    <w:rsid w:val="00755EC7"/>
    <w:rsid w:val="00760721"/>
    <w:rsid w:val="00760A10"/>
    <w:rsid w:val="00761EA2"/>
    <w:rsid w:val="0076201F"/>
    <w:rsid w:val="0076226B"/>
    <w:rsid w:val="00762984"/>
    <w:rsid w:val="00762C68"/>
    <w:rsid w:val="00762FF7"/>
    <w:rsid w:val="0076404D"/>
    <w:rsid w:val="007644B7"/>
    <w:rsid w:val="0076504D"/>
    <w:rsid w:val="00765093"/>
    <w:rsid w:val="0076620A"/>
    <w:rsid w:val="00766A30"/>
    <w:rsid w:val="007672AC"/>
    <w:rsid w:val="0076759B"/>
    <w:rsid w:val="007721F9"/>
    <w:rsid w:val="007728A6"/>
    <w:rsid w:val="00772C09"/>
    <w:rsid w:val="00773720"/>
    <w:rsid w:val="0077728A"/>
    <w:rsid w:val="00777747"/>
    <w:rsid w:val="00782593"/>
    <w:rsid w:val="00782777"/>
    <w:rsid w:val="007833CE"/>
    <w:rsid w:val="00784751"/>
    <w:rsid w:val="00784A39"/>
    <w:rsid w:val="0078598A"/>
    <w:rsid w:val="00786D64"/>
    <w:rsid w:val="0079078B"/>
    <w:rsid w:val="00793763"/>
    <w:rsid w:val="00796428"/>
    <w:rsid w:val="007A08CB"/>
    <w:rsid w:val="007A0C96"/>
    <w:rsid w:val="007A2B25"/>
    <w:rsid w:val="007A3CBB"/>
    <w:rsid w:val="007A461A"/>
    <w:rsid w:val="007A5775"/>
    <w:rsid w:val="007A7A92"/>
    <w:rsid w:val="007A7AE3"/>
    <w:rsid w:val="007B2284"/>
    <w:rsid w:val="007B36BB"/>
    <w:rsid w:val="007B4315"/>
    <w:rsid w:val="007B4BCC"/>
    <w:rsid w:val="007B7A5E"/>
    <w:rsid w:val="007C072F"/>
    <w:rsid w:val="007C0AE1"/>
    <w:rsid w:val="007C1C74"/>
    <w:rsid w:val="007C560E"/>
    <w:rsid w:val="007D065C"/>
    <w:rsid w:val="007D1BB8"/>
    <w:rsid w:val="007D24FF"/>
    <w:rsid w:val="007D5950"/>
    <w:rsid w:val="007E0725"/>
    <w:rsid w:val="007E289D"/>
    <w:rsid w:val="007E2A55"/>
    <w:rsid w:val="007E3C74"/>
    <w:rsid w:val="007E6C81"/>
    <w:rsid w:val="007E70C2"/>
    <w:rsid w:val="007F0104"/>
    <w:rsid w:val="007F0E47"/>
    <w:rsid w:val="007F1C38"/>
    <w:rsid w:val="007F2C65"/>
    <w:rsid w:val="007F4DBE"/>
    <w:rsid w:val="007F60C8"/>
    <w:rsid w:val="007F6C94"/>
    <w:rsid w:val="0080028E"/>
    <w:rsid w:val="00801665"/>
    <w:rsid w:val="008025B3"/>
    <w:rsid w:val="0080323A"/>
    <w:rsid w:val="00804037"/>
    <w:rsid w:val="00804C9C"/>
    <w:rsid w:val="0080701D"/>
    <w:rsid w:val="0080741F"/>
    <w:rsid w:val="00810D01"/>
    <w:rsid w:val="00811185"/>
    <w:rsid w:val="00811BC6"/>
    <w:rsid w:val="008135FF"/>
    <w:rsid w:val="00813B6E"/>
    <w:rsid w:val="00814D42"/>
    <w:rsid w:val="008204F7"/>
    <w:rsid w:val="008205A0"/>
    <w:rsid w:val="008214CB"/>
    <w:rsid w:val="00822403"/>
    <w:rsid w:val="00824D2F"/>
    <w:rsid w:val="00824F02"/>
    <w:rsid w:val="00826A25"/>
    <w:rsid w:val="00827658"/>
    <w:rsid w:val="008300E0"/>
    <w:rsid w:val="008310A4"/>
    <w:rsid w:val="00831424"/>
    <w:rsid w:val="008355AC"/>
    <w:rsid w:val="00836477"/>
    <w:rsid w:val="008375B3"/>
    <w:rsid w:val="00840781"/>
    <w:rsid w:val="008431E3"/>
    <w:rsid w:val="008434A4"/>
    <w:rsid w:val="008440A4"/>
    <w:rsid w:val="008446AA"/>
    <w:rsid w:val="00844955"/>
    <w:rsid w:val="0084554E"/>
    <w:rsid w:val="008465A5"/>
    <w:rsid w:val="00846C50"/>
    <w:rsid w:val="00852071"/>
    <w:rsid w:val="0085323A"/>
    <w:rsid w:val="00854A1F"/>
    <w:rsid w:val="00854B85"/>
    <w:rsid w:val="00854E1B"/>
    <w:rsid w:val="008578A7"/>
    <w:rsid w:val="00860ADA"/>
    <w:rsid w:val="008625C2"/>
    <w:rsid w:val="00863041"/>
    <w:rsid w:val="00864664"/>
    <w:rsid w:val="008667AE"/>
    <w:rsid w:val="00867552"/>
    <w:rsid w:val="008712CF"/>
    <w:rsid w:val="00871FD0"/>
    <w:rsid w:val="00872AFD"/>
    <w:rsid w:val="00873137"/>
    <w:rsid w:val="00876904"/>
    <w:rsid w:val="00876CF4"/>
    <w:rsid w:val="00877276"/>
    <w:rsid w:val="0087729E"/>
    <w:rsid w:val="008801C5"/>
    <w:rsid w:val="0088294C"/>
    <w:rsid w:val="008847FE"/>
    <w:rsid w:val="00885A92"/>
    <w:rsid w:val="008865F5"/>
    <w:rsid w:val="00890C95"/>
    <w:rsid w:val="00891569"/>
    <w:rsid w:val="0089207A"/>
    <w:rsid w:val="00892A20"/>
    <w:rsid w:val="0089488F"/>
    <w:rsid w:val="008952EB"/>
    <w:rsid w:val="00896678"/>
    <w:rsid w:val="00896746"/>
    <w:rsid w:val="00897CA3"/>
    <w:rsid w:val="008A03E5"/>
    <w:rsid w:val="008A0F51"/>
    <w:rsid w:val="008A35D7"/>
    <w:rsid w:val="008A42FF"/>
    <w:rsid w:val="008A48BF"/>
    <w:rsid w:val="008A6010"/>
    <w:rsid w:val="008A6114"/>
    <w:rsid w:val="008A7D70"/>
    <w:rsid w:val="008B119D"/>
    <w:rsid w:val="008B14F5"/>
    <w:rsid w:val="008B170C"/>
    <w:rsid w:val="008B446A"/>
    <w:rsid w:val="008B59EA"/>
    <w:rsid w:val="008B7415"/>
    <w:rsid w:val="008C0204"/>
    <w:rsid w:val="008C278C"/>
    <w:rsid w:val="008C2BB7"/>
    <w:rsid w:val="008C2C00"/>
    <w:rsid w:val="008C6139"/>
    <w:rsid w:val="008C68E4"/>
    <w:rsid w:val="008D0BE0"/>
    <w:rsid w:val="008D4C36"/>
    <w:rsid w:val="008D66FD"/>
    <w:rsid w:val="008E1300"/>
    <w:rsid w:val="008E133B"/>
    <w:rsid w:val="008E1A80"/>
    <w:rsid w:val="008E2D83"/>
    <w:rsid w:val="008E3EE3"/>
    <w:rsid w:val="008E4FB1"/>
    <w:rsid w:val="008E6236"/>
    <w:rsid w:val="008F073B"/>
    <w:rsid w:val="008F10B9"/>
    <w:rsid w:val="008F1639"/>
    <w:rsid w:val="008F2CE4"/>
    <w:rsid w:val="008F39FA"/>
    <w:rsid w:val="008F6BE5"/>
    <w:rsid w:val="00902CEB"/>
    <w:rsid w:val="00903374"/>
    <w:rsid w:val="009054EC"/>
    <w:rsid w:val="00907AC2"/>
    <w:rsid w:val="00907D03"/>
    <w:rsid w:val="00911436"/>
    <w:rsid w:val="00917A0D"/>
    <w:rsid w:val="00917C59"/>
    <w:rsid w:val="00922D4D"/>
    <w:rsid w:val="009306C2"/>
    <w:rsid w:val="00930FEA"/>
    <w:rsid w:val="00931BCD"/>
    <w:rsid w:val="00932C13"/>
    <w:rsid w:val="00934D86"/>
    <w:rsid w:val="0093586A"/>
    <w:rsid w:val="0093592A"/>
    <w:rsid w:val="00936EB1"/>
    <w:rsid w:val="00937823"/>
    <w:rsid w:val="00941F7B"/>
    <w:rsid w:val="0094203C"/>
    <w:rsid w:val="0094503F"/>
    <w:rsid w:val="00945B79"/>
    <w:rsid w:val="00945C8E"/>
    <w:rsid w:val="00947AFE"/>
    <w:rsid w:val="00952EB2"/>
    <w:rsid w:val="00953080"/>
    <w:rsid w:val="00953157"/>
    <w:rsid w:val="00953BE6"/>
    <w:rsid w:val="00954808"/>
    <w:rsid w:val="0095675F"/>
    <w:rsid w:val="00956CC2"/>
    <w:rsid w:val="00960A25"/>
    <w:rsid w:val="00960BA8"/>
    <w:rsid w:val="00961F73"/>
    <w:rsid w:val="00964D67"/>
    <w:rsid w:val="00965931"/>
    <w:rsid w:val="0096779E"/>
    <w:rsid w:val="0097154A"/>
    <w:rsid w:val="00973083"/>
    <w:rsid w:val="00973345"/>
    <w:rsid w:val="009767A1"/>
    <w:rsid w:val="0098260A"/>
    <w:rsid w:val="00983D0E"/>
    <w:rsid w:val="00984127"/>
    <w:rsid w:val="009854BF"/>
    <w:rsid w:val="009855E3"/>
    <w:rsid w:val="00986A73"/>
    <w:rsid w:val="00987F4E"/>
    <w:rsid w:val="00994146"/>
    <w:rsid w:val="00995721"/>
    <w:rsid w:val="00997484"/>
    <w:rsid w:val="00997986"/>
    <w:rsid w:val="009A0ED2"/>
    <w:rsid w:val="009A1620"/>
    <w:rsid w:val="009A19AC"/>
    <w:rsid w:val="009A1A69"/>
    <w:rsid w:val="009A2113"/>
    <w:rsid w:val="009A2492"/>
    <w:rsid w:val="009A5AE3"/>
    <w:rsid w:val="009B0031"/>
    <w:rsid w:val="009B0D93"/>
    <w:rsid w:val="009B1DF6"/>
    <w:rsid w:val="009B2114"/>
    <w:rsid w:val="009B2813"/>
    <w:rsid w:val="009B32A6"/>
    <w:rsid w:val="009B452E"/>
    <w:rsid w:val="009B45B1"/>
    <w:rsid w:val="009B630C"/>
    <w:rsid w:val="009B714B"/>
    <w:rsid w:val="009B7358"/>
    <w:rsid w:val="009C1392"/>
    <w:rsid w:val="009C4914"/>
    <w:rsid w:val="009C4E7F"/>
    <w:rsid w:val="009C6C24"/>
    <w:rsid w:val="009D0D12"/>
    <w:rsid w:val="009D1431"/>
    <w:rsid w:val="009D28FB"/>
    <w:rsid w:val="009D4885"/>
    <w:rsid w:val="009D4A6E"/>
    <w:rsid w:val="009E176F"/>
    <w:rsid w:val="009E2EAB"/>
    <w:rsid w:val="009E3489"/>
    <w:rsid w:val="009E4F66"/>
    <w:rsid w:val="009E5FC1"/>
    <w:rsid w:val="009E6E53"/>
    <w:rsid w:val="009E7F75"/>
    <w:rsid w:val="009F0DF8"/>
    <w:rsid w:val="009F19D7"/>
    <w:rsid w:val="009F1DE5"/>
    <w:rsid w:val="009F23A5"/>
    <w:rsid w:val="009F31B6"/>
    <w:rsid w:val="009F544E"/>
    <w:rsid w:val="009F5DEC"/>
    <w:rsid w:val="009F72BE"/>
    <w:rsid w:val="00A00148"/>
    <w:rsid w:val="00A00217"/>
    <w:rsid w:val="00A015A3"/>
    <w:rsid w:val="00A01F5B"/>
    <w:rsid w:val="00A06343"/>
    <w:rsid w:val="00A10F15"/>
    <w:rsid w:val="00A120DA"/>
    <w:rsid w:val="00A12E1E"/>
    <w:rsid w:val="00A142B7"/>
    <w:rsid w:val="00A17290"/>
    <w:rsid w:val="00A20F79"/>
    <w:rsid w:val="00A20FE0"/>
    <w:rsid w:val="00A2543F"/>
    <w:rsid w:val="00A260A4"/>
    <w:rsid w:val="00A3096F"/>
    <w:rsid w:val="00A30BEF"/>
    <w:rsid w:val="00A30D6D"/>
    <w:rsid w:val="00A315DB"/>
    <w:rsid w:val="00A31FA1"/>
    <w:rsid w:val="00A33A60"/>
    <w:rsid w:val="00A35261"/>
    <w:rsid w:val="00A35A08"/>
    <w:rsid w:val="00A37388"/>
    <w:rsid w:val="00A4127B"/>
    <w:rsid w:val="00A4272F"/>
    <w:rsid w:val="00A44722"/>
    <w:rsid w:val="00A447FD"/>
    <w:rsid w:val="00A44EED"/>
    <w:rsid w:val="00A46D1F"/>
    <w:rsid w:val="00A51E88"/>
    <w:rsid w:val="00A53EC8"/>
    <w:rsid w:val="00A544DC"/>
    <w:rsid w:val="00A55FD2"/>
    <w:rsid w:val="00A56CFB"/>
    <w:rsid w:val="00A624FE"/>
    <w:rsid w:val="00A625C8"/>
    <w:rsid w:val="00A62795"/>
    <w:rsid w:val="00A62914"/>
    <w:rsid w:val="00A62D27"/>
    <w:rsid w:val="00A63BC7"/>
    <w:rsid w:val="00A64DAC"/>
    <w:rsid w:val="00A7026B"/>
    <w:rsid w:val="00A72E59"/>
    <w:rsid w:val="00A73352"/>
    <w:rsid w:val="00A7401F"/>
    <w:rsid w:val="00A74F9B"/>
    <w:rsid w:val="00A760FC"/>
    <w:rsid w:val="00A76135"/>
    <w:rsid w:val="00A767F4"/>
    <w:rsid w:val="00A77A43"/>
    <w:rsid w:val="00A80391"/>
    <w:rsid w:val="00A82E02"/>
    <w:rsid w:val="00A8650A"/>
    <w:rsid w:val="00A87C76"/>
    <w:rsid w:val="00A9139F"/>
    <w:rsid w:val="00A92084"/>
    <w:rsid w:val="00A9268B"/>
    <w:rsid w:val="00A953F9"/>
    <w:rsid w:val="00A95490"/>
    <w:rsid w:val="00A97507"/>
    <w:rsid w:val="00A977E8"/>
    <w:rsid w:val="00AA213C"/>
    <w:rsid w:val="00AA311E"/>
    <w:rsid w:val="00AA5FC2"/>
    <w:rsid w:val="00AA772D"/>
    <w:rsid w:val="00AA78A9"/>
    <w:rsid w:val="00AB0826"/>
    <w:rsid w:val="00AB0CAA"/>
    <w:rsid w:val="00AB143E"/>
    <w:rsid w:val="00AB1C40"/>
    <w:rsid w:val="00AB26C7"/>
    <w:rsid w:val="00AB64F0"/>
    <w:rsid w:val="00AB75C5"/>
    <w:rsid w:val="00AC170E"/>
    <w:rsid w:val="00AC2772"/>
    <w:rsid w:val="00AC4E15"/>
    <w:rsid w:val="00AC622B"/>
    <w:rsid w:val="00AC6678"/>
    <w:rsid w:val="00AC7B15"/>
    <w:rsid w:val="00AD14A4"/>
    <w:rsid w:val="00AD2446"/>
    <w:rsid w:val="00AD27BD"/>
    <w:rsid w:val="00AD4499"/>
    <w:rsid w:val="00AD4DE9"/>
    <w:rsid w:val="00AD5D42"/>
    <w:rsid w:val="00AD6016"/>
    <w:rsid w:val="00AD6EA9"/>
    <w:rsid w:val="00AD79DF"/>
    <w:rsid w:val="00AD7DE3"/>
    <w:rsid w:val="00AE0720"/>
    <w:rsid w:val="00AE0EC6"/>
    <w:rsid w:val="00AE3940"/>
    <w:rsid w:val="00AE4F56"/>
    <w:rsid w:val="00AE5F64"/>
    <w:rsid w:val="00AE6095"/>
    <w:rsid w:val="00AF3815"/>
    <w:rsid w:val="00AF3B3A"/>
    <w:rsid w:val="00AF45F0"/>
    <w:rsid w:val="00AF462B"/>
    <w:rsid w:val="00AF4C14"/>
    <w:rsid w:val="00AF72AD"/>
    <w:rsid w:val="00B009BD"/>
    <w:rsid w:val="00B01390"/>
    <w:rsid w:val="00B0166E"/>
    <w:rsid w:val="00B01BA6"/>
    <w:rsid w:val="00B02EC3"/>
    <w:rsid w:val="00B03D63"/>
    <w:rsid w:val="00B0451C"/>
    <w:rsid w:val="00B05905"/>
    <w:rsid w:val="00B0665F"/>
    <w:rsid w:val="00B10CCE"/>
    <w:rsid w:val="00B11C16"/>
    <w:rsid w:val="00B1208E"/>
    <w:rsid w:val="00B13232"/>
    <w:rsid w:val="00B13931"/>
    <w:rsid w:val="00B145B3"/>
    <w:rsid w:val="00B14F79"/>
    <w:rsid w:val="00B1532E"/>
    <w:rsid w:val="00B17595"/>
    <w:rsid w:val="00B17AC6"/>
    <w:rsid w:val="00B17F6D"/>
    <w:rsid w:val="00B203F4"/>
    <w:rsid w:val="00B20DE9"/>
    <w:rsid w:val="00B2426D"/>
    <w:rsid w:val="00B255C0"/>
    <w:rsid w:val="00B305B0"/>
    <w:rsid w:val="00B30AB0"/>
    <w:rsid w:val="00B31FB1"/>
    <w:rsid w:val="00B320E5"/>
    <w:rsid w:val="00B35245"/>
    <w:rsid w:val="00B3583C"/>
    <w:rsid w:val="00B36106"/>
    <w:rsid w:val="00B361AC"/>
    <w:rsid w:val="00B365CF"/>
    <w:rsid w:val="00B421FB"/>
    <w:rsid w:val="00B435EB"/>
    <w:rsid w:val="00B456CA"/>
    <w:rsid w:val="00B50F73"/>
    <w:rsid w:val="00B5174D"/>
    <w:rsid w:val="00B53113"/>
    <w:rsid w:val="00B544FB"/>
    <w:rsid w:val="00B5511D"/>
    <w:rsid w:val="00B60497"/>
    <w:rsid w:val="00B70FCC"/>
    <w:rsid w:val="00B722EB"/>
    <w:rsid w:val="00B72A53"/>
    <w:rsid w:val="00B73229"/>
    <w:rsid w:val="00B74B90"/>
    <w:rsid w:val="00B75554"/>
    <w:rsid w:val="00B802C7"/>
    <w:rsid w:val="00B810C7"/>
    <w:rsid w:val="00B8113A"/>
    <w:rsid w:val="00B81793"/>
    <w:rsid w:val="00B82D91"/>
    <w:rsid w:val="00B84106"/>
    <w:rsid w:val="00B84A6D"/>
    <w:rsid w:val="00B84DAA"/>
    <w:rsid w:val="00B85855"/>
    <w:rsid w:val="00B85FFA"/>
    <w:rsid w:val="00B860C3"/>
    <w:rsid w:val="00B860F8"/>
    <w:rsid w:val="00B870B2"/>
    <w:rsid w:val="00B9030C"/>
    <w:rsid w:val="00B91120"/>
    <w:rsid w:val="00B91B4F"/>
    <w:rsid w:val="00B9272D"/>
    <w:rsid w:val="00B92873"/>
    <w:rsid w:val="00B958BC"/>
    <w:rsid w:val="00B96DBB"/>
    <w:rsid w:val="00BA0C38"/>
    <w:rsid w:val="00BA3CBF"/>
    <w:rsid w:val="00BA5351"/>
    <w:rsid w:val="00BA6138"/>
    <w:rsid w:val="00BA6AB8"/>
    <w:rsid w:val="00BB14D4"/>
    <w:rsid w:val="00BB25D6"/>
    <w:rsid w:val="00BB2A25"/>
    <w:rsid w:val="00BB393D"/>
    <w:rsid w:val="00BB5CBA"/>
    <w:rsid w:val="00BC0229"/>
    <w:rsid w:val="00BC2A6E"/>
    <w:rsid w:val="00BC4A73"/>
    <w:rsid w:val="00BC4D35"/>
    <w:rsid w:val="00BC6CCF"/>
    <w:rsid w:val="00BC769D"/>
    <w:rsid w:val="00BD06F1"/>
    <w:rsid w:val="00BD2783"/>
    <w:rsid w:val="00BD30A2"/>
    <w:rsid w:val="00BD5B60"/>
    <w:rsid w:val="00BD6EB9"/>
    <w:rsid w:val="00BD7610"/>
    <w:rsid w:val="00BE0D32"/>
    <w:rsid w:val="00BE1854"/>
    <w:rsid w:val="00BE2049"/>
    <w:rsid w:val="00BE49DC"/>
    <w:rsid w:val="00BE503A"/>
    <w:rsid w:val="00BE5713"/>
    <w:rsid w:val="00BE63A2"/>
    <w:rsid w:val="00BF0B47"/>
    <w:rsid w:val="00BF1A69"/>
    <w:rsid w:val="00BF3B7F"/>
    <w:rsid w:val="00BF407A"/>
    <w:rsid w:val="00BF4C55"/>
    <w:rsid w:val="00C00828"/>
    <w:rsid w:val="00C01B1A"/>
    <w:rsid w:val="00C0200A"/>
    <w:rsid w:val="00C04167"/>
    <w:rsid w:val="00C04B91"/>
    <w:rsid w:val="00C06120"/>
    <w:rsid w:val="00C1666E"/>
    <w:rsid w:val="00C20005"/>
    <w:rsid w:val="00C20813"/>
    <w:rsid w:val="00C224C7"/>
    <w:rsid w:val="00C25569"/>
    <w:rsid w:val="00C27E36"/>
    <w:rsid w:val="00C305A2"/>
    <w:rsid w:val="00C30FF8"/>
    <w:rsid w:val="00C33427"/>
    <w:rsid w:val="00C3421F"/>
    <w:rsid w:val="00C34A39"/>
    <w:rsid w:val="00C4108A"/>
    <w:rsid w:val="00C47E1F"/>
    <w:rsid w:val="00C52932"/>
    <w:rsid w:val="00C52EF3"/>
    <w:rsid w:val="00C54048"/>
    <w:rsid w:val="00C56B09"/>
    <w:rsid w:val="00C57110"/>
    <w:rsid w:val="00C571EB"/>
    <w:rsid w:val="00C63223"/>
    <w:rsid w:val="00C63DB3"/>
    <w:rsid w:val="00C640DC"/>
    <w:rsid w:val="00C64353"/>
    <w:rsid w:val="00C652E8"/>
    <w:rsid w:val="00C65514"/>
    <w:rsid w:val="00C66708"/>
    <w:rsid w:val="00C67C34"/>
    <w:rsid w:val="00C67D7E"/>
    <w:rsid w:val="00C71F25"/>
    <w:rsid w:val="00C72492"/>
    <w:rsid w:val="00C74B13"/>
    <w:rsid w:val="00C80936"/>
    <w:rsid w:val="00C80E5E"/>
    <w:rsid w:val="00C80F97"/>
    <w:rsid w:val="00C80FA9"/>
    <w:rsid w:val="00C81437"/>
    <w:rsid w:val="00C8215F"/>
    <w:rsid w:val="00C8366E"/>
    <w:rsid w:val="00C86943"/>
    <w:rsid w:val="00C8750A"/>
    <w:rsid w:val="00C87B3A"/>
    <w:rsid w:val="00C90F85"/>
    <w:rsid w:val="00C9199D"/>
    <w:rsid w:val="00C92528"/>
    <w:rsid w:val="00C9538E"/>
    <w:rsid w:val="00C96F62"/>
    <w:rsid w:val="00C978FA"/>
    <w:rsid w:val="00C97D26"/>
    <w:rsid w:val="00CA0474"/>
    <w:rsid w:val="00CA0B26"/>
    <w:rsid w:val="00CA0D7D"/>
    <w:rsid w:val="00CA31F8"/>
    <w:rsid w:val="00CA3712"/>
    <w:rsid w:val="00CA4E73"/>
    <w:rsid w:val="00CB155C"/>
    <w:rsid w:val="00CB2EB5"/>
    <w:rsid w:val="00CB3780"/>
    <w:rsid w:val="00CB51EC"/>
    <w:rsid w:val="00CB6144"/>
    <w:rsid w:val="00CB6D21"/>
    <w:rsid w:val="00CC02CE"/>
    <w:rsid w:val="00CC1A50"/>
    <w:rsid w:val="00CC4A48"/>
    <w:rsid w:val="00CC5969"/>
    <w:rsid w:val="00CC6924"/>
    <w:rsid w:val="00CC74DB"/>
    <w:rsid w:val="00CD1C19"/>
    <w:rsid w:val="00CD291F"/>
    <w:rsid w:val="00CD2D57"/>
    <w:rsid w:val="00CD2E44"/>
    <w:rsid w:val="00CD4D11"/>
    <w:rsid w:val="00CE2702"/>
    <w:rsid w:val="00CE6943"/>
    <w:rsid w:val="00CE6FF1"/>
    <w:rsid w:val="00CE7D2E"/>
    <w:rsid w:val="00CF15F2"/>
    <w:rsid w:val="00CF278F"/>
    <w:rsid w:val="00CF38D9"/>
    <w:rsid w:val="00CF3B9D"/>
    <w:rsid w:val="00CF41CF"/>
    <w:rsid w:val="00CF450B"/>
    <w:rsid w:val="00CF7E14"/>
    <w:rsid w:val="00D0098A"/>
    <w:rsid w:val="00D01F36"/>
    <w:rsid w:val="00D02BB1"/>
    <w:rsid w:val="00D03A3D"/>
    <w:rsid w:val="00D046DD"/>
    <w:rsid w:val="00D048C5"/>
    <w:rsid w:val="00D04E5C"/>
    <w:rsid w:val="00D07969"/>
    <w:rsid w:val="00D1440B"/>
    <w:rsid w:val="00D150D7"/>
    <w:rsid w:val="00D16BDA"/>
    <w:rsid w:val="00D17A10"/>
    <w:rsid w:val="00D20456"/>
    <w:rsid w:val="00D2053F"/>
    <w:rsid w:val="00D2257E"/>
    <w:rsid w:val="00D22657"/>
    <w:rsid w:val="00D2272A"/>
    <w:rsid w:val="00D22CD3"/>
    <w:rsid w:val="00D2327C"/>
    <w:rsid w:val="00D23393"/>
    <w:rsid w:val="00D23401"/>
    <w:rsid w:val="00D23E79"/>
    <w:rsid w:val="00D243D6"/>
    <w:rsid w:val="00D244E1"/>
    <w:rsid w:val="00D275FC"/>
    <w:rsid w:val="00D276F2"/>
    <w:rsid w:val="00D32C84"/>
    <w:rsid w:val="00D32C8F"/>
    <w:rsid w:val="00D35C39"/>
    <w:rsid w:val="00D365D7"/>
    <w:rsid w:val="00D4019E"/>
    <w:rsid w:val="00D40324"/>
    <w:rsid w:val="00D40A8E"/>
    <w:rsid w:val="00D40E44"/>
    <w:rsid w:val="00D43177"/>
    <w:rsid w:val="00D4336B"/>
    <w:rsid w:val="00D448D9"/>
    <w:rsid w:val="00D45C1C"/>
    <w:rsid w:val="00D5374F"/>
    <w:rsid w:val="00D53EC2"/>
    <w:rsid w:val="00D55F02"/>
    <w:rsid w:val="00D56266"/>
    <w:rsid w:val="00D569F8"/>
    <w:rsid w:val="00D602A1"/>
    <w:rsid w:val="00D627E9"/>
    <w:rsid w:val="00D65052"/>
    <w:rsid w:val="00D65A8B"/>
    <w:rsid w:val="00D66293"/>
    <w:rsid w:val="00D70BED"/>
    <w:rsid w:val="00D72632"/>
    <w:rsid w:val="00D728EE"/>
    <w:rsid w:val="00D72968"/>
    <w:rsid w:val="00D74EA7"/>
    <w:rsid w:val="00D756CD"/>
    <w:rsid w:val="00D76F8D"/>
    <w:rsid w:val="00D77A10"/>
    <w:rsid w:val="00D77A3C"/>
    <w:rsid w:val="00D77B07"/>
    <w:rsid w:val="00D77ED5"/>
    <w:rsid w:val="00D834D2"/>
    <w:rsid w:val="00D84521"/>
    <w:rsid w:val="00D84EA7"/>
    <w:rsid w:val="00D85681"/>
    <w:rsid w:val="00D86220"/>
    <w:rsid w:val="00D869F5"/>
    <w:rsid w:val="00D86B34"/>
    <w:rsid w:val="00D90115"/>
    <w:rsid w:val="00D9025E"/>
    <w:rsid w:val="00D92FEA"/>
    <w:rsid w:val="00D96745"/>
    <w:rsid w:val="00D97909"/>
    <w:rsid w:val="00D97FAA"/>
    <w:rsid w:val="00DA1A87"/>
    <w:rsid w:val="00DA26A5"/>
    <w:rsid w:val="00DA5C6D"/>
    <w:rsid w:val="00DA6657"/>
    <w:rsid w:val="00DA6B2B"/>
    <w:rsid w:val="00DA70C4"/>
    <w:rsid w:val="00DA7C2B"/>
    <w:rsid w:val="00DB192C"/>
    <w:rsid w:val="00DB1FE4"/>
    <w:rsid w:val="00DB2AFF"/>
    <w:rsid w:val="00DB7962"/>
    <w:rsid w:val="00DC0E5D"/>
    <w:rsid w:val="00DC2008"/>
    <w:rsid w:val="00DC2CBF"/>
    <w:rsid w:val="00DC45E9"/>
    <w:rsid w:val="00DC542B"/>
    <w:rsid w:val="00DC740D"/>
    <w:rsid w:val="00DD0493"/>
    <w:rsid w:val="00DD13E9"/>
    <w:rsid w:val="00DD1561"/>
    <w:rsid w:val="00DD2DDA"/>
    <w:rsid w:val="00DD3A9B"/>
    <w:rsid w:val="00DD3B18"/>
    <w:rsid w:val="00DD4195"/>
    <w:rsid w:val="00DD494A"/>
    <w:rsid w:val="00DD5915"/>
    <w:rsid w:val="00DE0512"/>
    <w:rsid w:val="00DE232F"/>
    <w:rsid w:val="00DE350C"/>
    <w:rsid w:val="00DE363A"/>
    <w:rsid w:val="00DE3C40"/>
    <w:rsid w:val="00DE413A"/>
    <w:rsid w:val="00DE66C3"/>
    <w:rsid w:val="00DE742F"/>
    <w:rsid w:val="00DF06BA"/>
    <w:rsid w:val="00DF126C"/>
    <w:rsid w:val="00DF1913"/>
    <w:rsid w:val="00DF1DEA"/>
    <w:rsid w:val="00DF37F0"/>
    <w:rsid w:val="00DF3F88"/>
    <w:rsid w:val="00DF4F43"/>
    <w:rsid w:val="00DF5BEA"/>
    <w:rsid w:val="00E009C2"/>
    <w:rsid w:val="00E06C19"/>
    <w:rsid w:val="00E1184D"/>
    <w:rsid w:val="00E11BF0"/>
    <w:rsid w:val="00E133B6"/>
    <w:rsid w:val="00E1348B"/>
    <w:rsid w:val="00E147C3"/>
    <w:rsid w:val="00E14A79"/>
    <w:rsid w:val="00E164B9"/>
    <w:rsid w:val="00E21057"/>
    <w:rsid w:val="00E21AB0"/>
    <w:rsid w:val="00E24107"/>
    <w:rsid w:val="00E252F5"/>
    <w:rsid w:val="00E30A9E"/>
    <w:rsid w:val="00E31365"/>
    <w:rsid w:val="00E31782"/>
    <w:rsid w:val="00E3507A"/>
    <w:rsid w:val="00E36117"/>
    <w:rsid w:val="00E362C7"/>
    <w:rsid w:val="00E419B4"/>
    <w:rsid w:val="00E4291E"/>
    <w:rsid w:val="00E44463"/>
    <w:rsid w:val="00E4471F"/>
    <w:rsid w:val="00E447C9"/>
    <w:rsid w:val="00E50344"/>
    <w:rsid w:val="00E51514"/>
    <w:rsid w:val="00E51661"/>
    <w:rsid w:val="00E51E7E"/>
    <w:rsid w:val="00E5228B"/>
    <w:rsid w:val="00E527BC"/>
    <w:rsid w:val="00E5287B"/>
    <w:rsid w:val="00E52AEE"/>
    <w:rsid w:val="00E55899"/>
    <w:rsid w:val="00E57C47"/>
    <w:rsid w:val="00E60A02"/>
    <w:rsid w:val="00E61E73"/>
    <w:rsid w:val="00E659F4"/>
    <w:rsid w:val="00E67EAC"/>
    <w:rsid w:val="00E70651"/>
    <w:rsid w:val="00E70760"/>
    <w:rsid w:val="00E758F1"/>
    <w:rsid w:val="00E75D7A"/>
    <w:rsid w:val="00E76409"/>
    <w:rsid w:val="00E76DAE"/>
    <w:rsid w:val="00E80117"/>
    <w:rsid w:val="00E80262"/>
    <w:rsid w:val="00E81380"/>
    <w:rsid w:val="00E84903"/>
    <w:rsid w:val="00E86F4E"/>
    <w:rsid w:val="00E87DBB"/>
    <w:rsid w:val="00E9050B"/>
    <w:rsid w:val="00E908D4"/>
    <w:rsid w:val="00E91688"/>
    <w:rsid w:val="00E92A82"/>
    <w:rsid w:val="00E9396A"/>
    <w:rsid w:val="00E9419B"/>
    <w:rsid w:val="00E941AC"/>
    <w:rsid w:val="00E94481"/>
    <w:rsid w:val="00E94D5A"/>
    <w:rsid w:val="00E95416"/>
    <w:rsid w:val="00E965DC"/>
    <w:rsid w:val="00E97229"/>
    <w:rsid w:val="00E972C2"/>
    <w:rsid w:val="00E97979"/>
    <w:rsid w:val="00EA101D"/>
    <w:rsid w:val="00EA109F"/>
    <w:rsid w:val="00EA1AEE"/>
    <w:rsid w:val="00EA28BC"/>
    <w:rsid w:val="00EA3B4C"/>
    <w:rsid w:val="00EA4B74"/>
    <w:rsid w:val="00EA60B0"/>
    <w:rsid w:val="00EA7993"/>
    <w:rsid w:val="00EA79A8"/>
    <w:rsid w:val="00EB13F6"/>
    <w:rsid w:val="00EB3733"/>
    <w:rsid w:val="00EB5CB1"/>
    <w:rsid w:val="00EB6178"/>
    <w:rsid w:val="00EB638A"/>
    <w:rsid w:val="00EB783E"/>
    <w:rsid w:val="00EC1D21"/>
    <w:rsid w:val="00EC3987"/>
    <w:rsid w:val="00EC4D36"/>
    <w:rsid w:val="00ED1619"/>
    <w:rsid w:val="00ED5C0C"/>
    <w:rsid w:val="00ED5FAF"/>
    <w:rsid w:val="00ED7AD7"/>
    <w:rsid w:val="00EE160B"/>
    <w:rsid w:val="00EE3128"/>
    <w:rsid w:val="00EE3424"/>
    <w:rsid w:val="00EE5361"/>
    <w:rsid w:val="00EE55AA"/>
    <w:rsid w:val="00EE61C3"/>
    <w:rsid w:val="00EE6CDE"/>
    <w:rsid w:val="00EE7701"/>
    <w:rsid w:val="00EE7FC0"/>
    <w:rsid w:val="00EF05CA"/>
    <w:rsid w:val="00EF29DC"/>
    <w:rsid w:val="00EF3CF9"/>
    <w:rsid w:val="00EF5DB9"/>
    <w:rsid w:val="00EF7D4A"/>
    <w:rsid w:val="00EF7DF6"/>
    <w:rsid w:val="00F01F2C"/>
    <w:rsid w:val="00F024D8"/>
    <w:rsid w:val="00F0387D"/>
    <w:rsid w:val="00F042B6"/>
    <w:rsid w:val="00F04CE4"/>
    <w:rsid w:val="00F06CD4"/>
    <w:rsid w:val="00F07CAD"/>
    <w:rsid w:val="00F07FE2"/>
    <w:rsid w:val="00F12754"/>
    <w:rsid w:val="00F151AE"/>
    <w:rsid w:val="00F152A4"/>
    <w:rsid w:val="00F16DB9"/>
    <w:rsid w:val="00F175C9"/>
    <w:rsid w:val="00F221D4"/>
    <w:rsid w:val="00F23310"/>
    <w:rsid w:val="00F24F89"/>
    <w:rsid w:val="00F25EBF"/>
    <w:rsid w:val="00F260DA"/>
    <w:rsid w:val="00F26A72"/>
    <w:rsid w:val="00F26DBB"/>
    <w:rsid w:val="00F31945"/>
    <w:rsid w:val="00F32612"/>
    <w:rsid w:val="00F32C30"/>
    <w:rsid w:val="00F3358A"/>
    <w:rsid w:val="00F35D8F"/>
    <w:rsid w:val="00F3682F"/>
    <w:rsid w:val="00F36E01"/>
    <w:rsid w:val="00F37231"/>
    <w:rsid w:val="00F37B37"/>
    <w:rsid w:val="00F40A3B"/>
    <w:rsid w:val="00F43409"/>
    <w:rsid w:val="00F440F0"/>
    <w:rsid w:val="00F441CF"/>
    <w:rsid w:val="00F44476"/>
    <w:rsid w:val="00F45C36"/>
    <w:rsid w:val="00F4754B"/>
    <w:rsid w:val="00F5184C"/>
    <w:rsid w:val="00F518F4"/>
    <w:rsid w:val="00F53324"/>
    <w:rsid w:val="00F53C44"/>
    <w:rsid w:val="00F5559E"/>
    <w:rsid w:val="00F556FA"/>
    <w:rsid w:val="00F55E50"/>
    <w:rsid w:val="00F56A2C"/>
    <w:rsid w:val="00F56CB7"/>
    <w:rsid w:val="00F605C9"/>
    <w:rsid w:val="00F64C20"/>
    <w:rsid w:val="00F67EA5"/>
    <w:rsid w:val="00F714CE"/>
    <w:rsid w:val="00F71B86"/>
    <w:rsid w:val="00F74171"/>
    <w:rsid w:val="00F761F6"/>
    <w:rsid w:val="00F807C1"/>
    <w:rsid w:val="00F81343"/>
    <w:rsid w:val="00F821D1"/>
    <w:rsid w:val="00F8649F"/>
    <w:rsid w:val="00F86759"/>
    <w:rsid w:val="00F90B84"/>
    <w:rsid w:val="00F91243"/>
    <w:rsid w:val="00F914CC"/>
    <w:rsid w:val="00F956A3"/>
    <w:rsid w:val="00FA2BDB"/>
    <w:rsid w:val="00FB0066"/>
    <w:rsid w:val="00FB2118"/>
    <w:rsid w:val="00FB56BE"/>
    <w:rsid w:val="00FB5D78"/>
    <w:rsid w:val="00FB67D8"/>
    <w:rsid w:val="00FB776D"/>
    <w:rsid w:val="00FC154F"/>
    <w:rsid w:val="00FC4B01"/>
    <w:rsid w:val="00FC664C"/>
    <w:rsid w:val="00FD1FA7"/>
    <w:rsid w:val="00FD55DB"/>
    <w:rsid w:val="00FD6366"/>
    <w:rsid w:val="00FD773D"/>
    <w:rsid w:val="00FE067A"/>
    <w:rsid w:val="00FE070E"/>
    <w:rsid w:val="00FE1B83"/>
    <w:rsid w:val="00FE2703"/>
    <w:rsid w:val="00FE318E"/>
    <w:rsid w:val="00FE7FF4"/>
    <w:rsid w:val="00FF0468"/>
    <w:rsid w:val="00FF1F05"/>
    <w:rsid w:val="00FF2A0E"/>
    <w:rsid w:val="00FF3132"/>
    <w:rsid w:val="00FF3489"/>
    <w:rsid w:val="00FF3688"/>
    <w:rsid w:val="00FF4BB0"/>
    <w:rsid w:val="00FF6533"/>
    <w:rsid w:val="00FF74A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EC935FC"/>
  <w15:docId w15:val="{BFF6D4F5-0AAE-4D26-AAF3-7B1C40B2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rPr>
      <w:rFonts w:ascii="Times New Roman" w:hAnsi="Times New Roman"/>
      <w:sz w:val="24"/>
    </w:rPr>
  </w:style>
  <w:style w:type="paragraph" w:styleId="Heading1">
    <w:name w:val="heading 1"/>
    <w:basedOn w:val="Normal"/>
    <w:next w:val="Normal"/>
    <w:qFormat/>
    <w:rsid w:val="001B1EFC"/>
    <w:pPr>
      <w:keepNext/>
      <w:keepLines/>
      <w:widowControl w:val="0"/>
      <w:spacing w:before="240"/>
      <w:outlineLvl w:val="0"/>
    </w:pPr>
    <w:rPr>
      <w:rFonts w:ascii="Calibri" w:eastAsia="Times New Roman" w:hAnsi="Calibri" w:cs="Calibri"/>
      <w:b/>
      <w:noProof/>
      <w:snapToGrid w:val="0"/>
      <w:sz w:val="28"/>
      <w:szCs w:val="32"/>
    </w:rPr>
  </w:style>
  <w:style w:type="paragraph" w:styleId="Heading2">
    <w:name w:val="heading 2"/>
    <w:basedOn w:val="Normal"/>
    <w:next w:val="Normal"/>
    <w:qFormat/>
    <w:rsid w:val="001B1EFC"/>
    <w:pPr>
      <w:pBdr>
        <w:top w:val="nil"/>
        <w:left w:val="nil"/>
        <w:bottom w:val="nil"/>
        <w:right w:val="nil"/>
        <w:between w:val="nil"/>
      </w:pBdr>
      <w:spacing w:before="100"/>
      <w:ind w:left="2160" w:hanging="2160"/>
      <w:outlineLvl w:val="1"/>
    </w:pPr>
    <w:rPr>
      <w:rFonts w:ascii="Calibri" w:eastAsia="Calibri" w:hAnsi="Calibri" w:cs="Calibri"/>
      <w:b/>
    </w:rPr>
  </w:style>
  <w:style w:type="paragraph" w:styleId="Heading3">
    <w:name w:val="heading 3"/>
    <w:basedOn w:val="Normal"/>
    <w:next w:val="Normal"/>
    <w:qFormat/>
    <w:rsid w:val="001B1EFC"/>
    <w:pPr>
      <w:tabs>
        <w:tab w:val="left" w:pos="1080"/>
        <w:tab w:val="left" w:pos="7187"/>
      </w:tabs>
      <w:autoSpaceDE w:val="0"/>
      <w:autoSpaceDN w:val="0"/>
      <w:adjustRightInd w:val="0"/>
      <w:outlineLvl w:val="2"/>
    </w:pPr>
    <w:rPr>
      <w:rFonts w:asciiTheme="minorHAnsi" w:hAnsiTheme="minorHAnsi"/>
      <w:b/>
      <w:szCs w:val="24"/>
    </w:rPr>
  </w:style>
  <w:style w:type="paragraph" w:styleId="Heading4">
    <w:name w:val="heading 4"/>
    <w:basedOn w:val="Normal"/>
    <w:next w:val="Normal"/>
    <w:qFormat/>
    <w:rsid w:val="001B1EFC"/>
    <w:pPr>
      <w:widowControl w:val="0"/>
      <w:spacing w:before="120" w:after="120"/>
      <w:jc w:val="both"/>
      <w:outlineLvl w:val="3"/>
    </w:pPr>
    <w:rPr>
      <w:rFonts w:ascii="Calibri" w:hAnsi="Calibri" w:cs="Calibri"/>
      <w:b/>
      <w:szCs w:val="24"/>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link w:val="SOLNumber"/>
    <w:rsid w:val="00311FE9"/>
    <w:rPr>
      <w:sz w:val="24"/>
      <w:szCs w:val="24"/>
      <w:lang w:val="en-US" w:eastAsia="en-US" w:bidi="ar-SA"/>
    </w:rPr>
  </w:style>
  <w:style w:type="character" w:customStyle="1" w:styleId="SOLBulletChar">
    <w:name w:val="SOL Bullet Char"/>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qFormat/>
    <w:rsid w:val="000226A7"/>
    <w:rPr>
      <w:i/>
      <w:iCs/>
    </w:rPr>
  </w:style>
  <w:style w:type="character" w:customStyle="1" w:styleId="style41">
    <w:name w:val="style41"/>
    <w:rsid w:val="000226A7"/>
    <w:rPr>
      <w:sz w:val="18"/>
      <w:szCs w:val="18"/>
    </w:rPr>
  </w:style>
  <w:style w:type="table" w:styleId="TableGrid">
    <w:name w:val="Table Grid"/>
    <w:basedOn w:val="TableNormal"/>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4"/>
      </w:numPr>
    </w:pPr>
  </w:style>
  <w:style w:type="paragraph" w:styleId="ListBullet2">
    <w:name w:val="List Bullet 2"/>
    <w:basedOn w:val="Normal"/>
    <w:autoRedefine/>
    <w:semiHidden/>
    <w:rsid w:val="00CA3712"/>
    <w:pPr>
      <w:numPr>
        <w:numId w:val="5"/>
      </w:numPr>
    </w:pPr>
  </w:style>
  <w:style w:type="paragraph" w:styleId="ListBullet3">
    <w:name w:val="List Bullet 3"/>
    <w:basedOn w:val="Normal"/>
    <w:autoRedefine/>
    <w:semiHidden/>
    <w:rsid w:val="00CA3712"/>
    <w:pPr>
      <w:numPr>
        <w:numId w:val="6"/>
      </w:numPr>
    </w:pPr>
  </w:style>
  <w:style w:type="paragraph" w:styleId="ListBullet4">
    <w:name w:val="List Bullet 4"/>
    <w:basedOn w:val="Normal"/>
    <w:autoRedefine/>
    <w:semiHidden/>
    <w:rsid w:val="00CA3712"/>
    <w:pPr>
      <w:numPr>
        <w:numId w:val="7"/>
      </w:numPr>
    </w:pPr>
  </w:style>
  <w:style w:type="paragraph" w:styleId="ListBullet5">
    <w:name w:val="List Bullet 5"/>
    <w:basedOn w:val="Normal"/>
    <w:autoRedefine/>
    <w:semiHidden/>
    <w:rsid w:val="00CA3712"/>
    <w:pPr>
      <w:numPr>
        <w:numId w:val="8"/>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9"/>
      </w:numPr>
    </w:pPr>
  </w:style>
  <w:style w:type="paragraph" w:styleId="ListNumber2">
    <w:name w:val="List Number 2"/>
    <w:basedOn w:val="Normal"/>
    <w:semiHidden/>
    <w:rsid w:val="00CA3712"/>
    <w:pPr>
      <w:numPr>
        <w:numId w:val="10"/>
      </w:numPr>
    </w:pPr>
  </w:style>
  <w:style w:type="paragraph" w:styleId="ListNumber3">
    <w:name w:val="List Number 3"/>
    <w:basedOn w:val="Normal"/>
    <w:semiHidden/>
    <w:rsid w:val="00CA3712"/>
    <w:pPr>
      <w:numPr>
        <w:numId w:val="11"/>
      </w:numPr>
    </w:pPr>
  </w:style>
  <w:style w:type="paragraph" w:styleId="ListNumber4">
    <w:name w:val="List Number 4"/>
    <w:basedOn w:val="Normal"/>
    <w:semiHidden/>
    <w:rsid w:val="00CA3712"/>
    <w:pPr>
      <w:numPr>
        <w:numId w:val="12"/>
      </w:numPr>
    </w:pPr>
  </w:style>
  <w:style w:type="paragraph" w:styleId="ListNumber5">
    <w:name w:val="List Number 5"/>
    <w:basedOn w:val="Normal"/>
    <w:semiHidden/>
    <w:rsid w:val="00CA3712"/>
    <w:pPr>
      <w:numPr>
        <w:numId w:val="13"/>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rsid w:val="00CA3712"/>
    <w:rPr>
      <w:color w:val="800080"/>
      <w:u w:val="single"/>
    </w:rPr>
  </w:style>
  <w:style w:type="paragraph" w:customStyle="1" w:styleId="ColumnBullet">
    <w:name w:val="Column Bullet"/>
    <w:basedOn w:val="Normal"/>
    <w:rsid w:val="00B810C7"/>
    <w:pPr>
      <w:numPr>
        <w:numId w:val="15"/>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4"/>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link w:val="Bullet1"/>
    <w:rsid w:val="00766A30"/>
    <w:rPr>
      <w:rFonts w:ascii="Times New Roman" w:hAnsi="Times New Roman"/>
    </w:rPr>
  </w:style>
  <w:style w:type="paragraph" w:customStyle="1" w:styleId="NormalHSSCF">
    <w:name w:val="NormalHSSCF"/>
    <w:rsid w:val="0036599B"/>
    <w:rPr>
      <w:rFonts w:ascii="Times New Roman" w:hAnsi="Times New Roman"/>
      <w:szCs w:val="22"/>
    </w:rPr>
  </w:style>
  <w:style w:type="character" w:styleId="PlaceholderText">
    <w:name w:val="Placeholder Text"/>
    <w:basedOn w:val="DefaultParagraphFont"/>
    <w:uiPriority w:val="99"/>
    <w:semiHidden/>
    <w:rsid w:val="007507C3"/>
    <w:rPr>
      <w:color w:val="808080"/>
    </w:rPr>
  </w:style>
  <w:style w:type="character" w:customStyle="1" w:styleId="FooterChar">
    <w:name w:val="Footer Char"/>
    <w:basedOn w:val="DefaultParagraphFont"/>
    <w:link w:val="Footer"/>
    <w:uiPriority w:val="99"/>
    <w:rsid w:val="00371CA0"/>
    <w:rPr>
      <w:rFonts w:ascii="Times New Roman" w:hAnsi="Times New Roman"/>
      <w:sz w:val="24"/>
    </w:rPr>
  </w:style>
  <w:style w:type="paragraph" w:styleId="ListParagraph">
    <w:name w:val="List Paragraph"/>
    <w:basedOn w:val="Normal"/>
    <w:uiPriority w:val="34"/>
    <w:qFormat/>
    <w:rsid w:val="001B1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22218">
      <w:bodyDiv w:val="1"/>
      <w:marLeft w:val="0"/>
      <w:marRight w:val="0"/>
      <w:marTop w:val="0"/>
      <w:marBottom w:val="0"/>
      <w:divBdr>
        <w:top w:val="none" w:sz="0" w:space="0" w:color="auto"/>
        <w:left w:val="none" w:sz="0" w:space="0" w:color="auto"/>
        <w:bottom w:val="none" w:sz="0" w:space="0" w:color="auto"/>
        <w:right w:val="none" w:sz="0" w:space="0" w:color="auto"/>
      </w:divBdr>
    </w:div>
    <w:div w:id="1505625596">
      <w:bodyDiv w:val="1"/>
      <w:marLeft w:val="0"/>
      <w:marRight w:val="0"/>
      <w:marTop w:val="0"/>
      <w:marBottom w:val="0"/>
      <w:divBdr>
        <w:top w:val="none" w:sz="0" w:space="0" w:color="auto"/>
        <w:left w:val="none" w:sz="0" w:space="0" w:color="auto"/>
        <w:bottom w:val="none" w:sz="0" w:space="0" w:color="auto"/>
        <w:right w:val="none" w:sz="0" w:space="0" w:color="auto"/>
      </w:divBdr>
    </w:div>
    <w:div w:id="20418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FB84-E151-4341-A505-2D1F0909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22316</CharactersWithSpaces>
  <SharedDoc>false</SharedDoc>
  <HLinks>
    <vt:vector size="12" baseType="variant">
      <vt:variant>
        <vt:i4>4194305</vt:i4>
      </vt:variant>
      <vt:variant>
        <vt:i4>3</vt:i4>
      </vt:variant>
      <vt:variant>
        <vt:i4>0</vt:i4>
      </vt:variant>
      <vt:variant>
        <vt:i4>5</vt:i4>
      </vt:variant>
      <vt:variant>
        <vt:lpwstr>http://www.doe.virginia.gov/</vt:lpwstr>
      </vt:variant>
      <vt:variant>
        <vt:lpwstr/>
      </vt:variant>
      <vt:variant>
        <vt:i4>4194392</vt:i4>
      </vt:variant>
      <vt:variant>
        <vt:i4>0</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Delozier, Debra (DOE)</cp:lastModifiedBy>
  <cp:revision>8</cp:revision>
  <cp:lastPrinted>2015-05-29T18:05:00Z</cp:lastPrinted>
  <dcterms:created xsi:type="dcterms:W3CDTF">2016-12-14T18:14:00Z</dcterms:created>
  <dcterms:modified xsi:type="dcterms:W3CDTF">2018-12-20T20:07:00Z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