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1792E" w14:textId="073620AC" w:rsidR="00790A65" w:rsidRPr="00782E26" w:rsidRDefault="00F7308D" w:rsidP="00790A65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szCs w:val="24"/>
        </w:rPr>
      </w:pPr>
      <w:bookmarkStart w:id="0" w:name="_GoBack"/>
      <w:bookmarkEnd w:id="0"/>
      <w:r>
        <w:rPr>
          <w:rFonts w:eastAsia="Times New Roman" w:cs="Times New Roman"/>
          <w:bCs/>
          <w:szCs w:val="24"/>
        </w:rPr>
        <w:t>Attachment C</w:t>
      </w:r>
      <w:r w:rsidR="00790A65" w:rsidRPr="00782E26">
        <w:rPr>
          <w:rFonts w:eastAsia="Times New Roman" w:cs="Times New Roman"/>
          <w:bCs/>
          <w:szCs w:val="24"/>
        </w:rPr>
        <w:t>, SNP Memo #2020-2021-</w:t>
      </w:r>
      <w:r w:rsidR="004259CA">
        <w:rPr>
          <w:rFonts w:eastAsia="Times New Roman" w:cs="Times New Roman"/>
          <w:bCs/>
          <w:szCs w:val="24"/>
        </w:rPr>
        <w:t>31</w:t>
      </w:r>
    </w:p>
    <w:p w14:paraId="0C98ABCF" w14:textId="2EE47129" w:rsidR="00833382" w:rsidRDefault="00401917" w:rsidP="00790A65">
      <w:pPr>
        <w:pStyle w:val="Heading1"/>
        <w:spacing w:before="0" w:line="240" w:lineRule="auto"/>
        <w:jc w:val="right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October </w:t>
      </w:r>
      <w:r w:rsidR="004259CA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, 2020</w:t>
      </w:r>
    </w:p>
    <w:p w14:paraId="6A808E17" w14:textId="60D7F5F9" w:rsidR="00790A65" w:rsidRPr="00790A65" w:rsidRDefault="00790A65" w:rsidP="00790A65">
      <w:pPr>
        <w:jc w:val="center"/>
      </w:pPr>
      <w:r>
        <w:rPr>
          <w:rFonts w:cs="Times New Roman"/>
          <w:b/>
          <w:noProof/>
        </w:rPr>
        <w:drawing>
          <wp:inline distT="0" distB="0" distL="0" distR="0" wp14:anchorId="580447B1" wp14:editId="373F4344">
            <wp:extent cx="2345871" cy="1219200"/>
            <wp:effectExtent l="0" t="0" r="3810" b="0"/>
            <wp:docPr id="1" name="Picture 1" descr="Virginia Department of Education Office of School Nutrition Progr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-snp-logo-blk-m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247" cy="127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3EBAE" w14:textId="1C14A2F7" w:rsidR="00603513" w:rsidRPr="00833382" w:rsidRDefault="00E555C8" w:rsidP="00833382">
      <w:pPr>
        <w:pStyle w:val="Heading1"/>
        <w:spacing w:after="360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>School Year 2020-2021</w:t>
      </w:r>
      <w:r w:rsidR="00B81115" w:rsidRPr="00833382">
        <w:rPr>
          <w:rFonts w:ascii="Times New Roman" w:hAnsi="Times New Roman" w:cs="Times New Roman"/>
          <w:b/>
          <w:color w:val="auto"/>
          <w:sz w:val="40"/>
          <w:szCs w:val="40"/>
        </w:rPr>
        <w:t xml:space="preserve"> Waivers</w:t>
      </w:r>
      <w:r w:rsidR="009A3336"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r w:rsidR="001D1C2E">
        <w:rPr>
          <w:rFonts w:ascii="Times New Roman" w:hAnsi="Times New Roman" w:cs="Times New Roman"/>
          <w:b/>
          <w:color w:val="auto"/>
          <w:sz w:val="40"/>
          <w:szCs w:val="40"/>
        </w:rPr>
        <w:t>- SSO</w:t>
      </w:r>
    </w:p>
    <w:tbl>
      <w:tblPr>
        <w:tblStyle w:val="TableGrid"/>
        <w:tblW w:w="13230" w:type="dxa"/>
        <w:tblInd w:w="-185" w:type="dxa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  <w:tblCaption w:val="COVID-19 Waivers"/>
        <w:tblDescription w:val="Table containing an overview of COVID-19 waivers"/>
      </w:tblPr>
      <w:tblGrid>
        <w:gridCol w:w="3780"/>
        <w:gridCol w:w="3240"/>
        <w:gridCol w:w="2700"/>
        <w:gridCol w:w="3510"/>
      </w:tblGrid>
      <w:tr w:rsidR="001D1C2E" w:rsidRPr="00833382" w14:paraId="2AF51175" w14:textId="77777777" w:rsidTr="001D1C2E">
        <w:trPr>
          <w:tblHeader/>
        </w:trPr>
        <w:tc>
          <w:tcPr>
            <w:tcW w:w="3780" w:type="dxa"/>
            <w:shd w:val="clear" w:color="auto" w:fill="F2F2F2" w:themeFill="background1" w:themeFillShade="F2"/>
          </w:tcPr>
          <w:p w14:paraId="297556FE" w14:textId="77777777" w:rsidR="001D1C2E" w:rsidRPr="00833382" w:rsidRDefault="001D1C2E" w:rsidP="00BB07D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33382">
              <w:rPr>
                <w:rFonts w:cs="Times New Roman"/>
                <w:b/>
                <w:bCs/>
                <w:szCs w:val="24"/>
              </w:rPr>
              <w:t>Waiver Title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15970D84" w14:textId="77777777" w:rsidR="001D1C2E" w:rsidRPr="00833382" w:rsidRDefault="001D1C2E" w:rsidP="00BB07D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33382">
              <w:rPr>
                <w:rFonts w:cs="Times New Roman"/>
                <w:b/>
                <w:bCs/>
                <w:szCs w:val="24"/>
              </w:rPr>
              <w:t>Description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14:paraId="751E9D74" w14:textId="77777777" w:rsidR="001D1C2E" w:rsidRPr="00833382" w:rsidRDefault="001D1C2E" w:rsidP="00BB07D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33382">
              <w:rPr>
                <w:rFonts w:cs="Times New Roman"/>
                <w:b/>
                <w:bCs/>
                <w:szCs w:val="24"/>
              </w:rPr>
              <w:t>Sponsor Actions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14:paraId="328B7430" w14:textId="77777777" w:rsidR="001D1C2E" w:rsidRPr="00833382" w:rsidRDefault="001D1C2E" w:rsidP="00BB07D8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833382">
              <w:rPr>
                <w:rFonts w:cs="Times New Roman"/>
                <w:b/>
                <w:bCs/>
                <w:szCs w:val="24"/>
              </w:rPr>
              <w:t>Data Requirements</w:t>
            </w:r>
          </w:p>
        </w:tc>
      </w:tr>
      <w:tr w:rsidR="001D1C2E" w:rsidRPr="00833382" w14:paraId="6046A1BD" w14:textId="77777777" w:rsidTr="001D1C2E">
        <w:tc>
          <w:tcPr>
            <w:tcW w:w="3780" w:type="dxa"/>
          </w:tcPr>
          <w:p w14:paraId="664AA3BD" w14:textId="244F36C0" w:rsidR="001D1C2E" w:rsidRPr="000E1C19" w:rsidRDefault="001D1C2E" w:rsidP="002D402D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Nationwide Waiver to Allow Summer Food Service Program</w:t>
            </w:r>
            <w:r w:rsidR="00893447">
              <w:rPr>
                <w:rFonts w:cs="Times New Roman"/>
                <w:szCs w:val="24"/>
              </w:rPr>
              <w:t xml:space="preserve"> (SFSP)</w:t>
            </w:r>
            <w:r>
              <w:rPr>
                <w:rFonts w:cs="Times New Roman"/>
                <w:szCs w:val="24"/>
              </w:rPr>
              <w:t xml:space="preserve"> and Seamless Summer Option</w:t>
            </w:r>
            <w:r w:rsidR="00893447">
              <w:rPr>
                <w:rFonts w:cs="Times New Roman"/>
                <w:szCs w:val="24"/>
              </w:rPr>
              <w:t xml:space="preserve"> (SSO)</w:t>
            </w:r>
            <w:r>
              <w:rPr>
                <w:rFonts w:cs="Times New Roman"/>
                <w:szCs w:val="24"/>
              </w:rPr>
              <w:t xml:space="preserve"> Operations through </w:t>
            </w:r>
            <w:r w:rsidR="002D402D">
              <w:rPr>
                <w:rFonts w:cs="Times New Roman"/>
                <w:szCs w:val="24"/>
              </w:rPr>
              <w:t>June 2021</w:t>
            </w:r>
          </w:p>
        </w:tc>
        <w:tc>
          <w:tcPr>
            <w:tcW w:w="3240" w:type="dxa"/>
          </w:tcPr>
          <w:p w14:paraId="6ECA90BB" w14:textId="1DD6A453" w:rsidR="001D1C2E" w:rsidRDefault="001D1C2E" w:rsidP="00207F23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This waiver allows states to grant approval for </w:t>
            </w:r>
            <w:r w:rsidR="009A3336">
              <w:rPr>
                <w:rFonts w:cs="Times New Roman"/>
                <w:szCs w:val="24"/>
              </w:rPr>
              <w:t>s</w:t>
            </w:r>
            <w:r w:rsidR="00893447">
              <w:rPr>
                <w:rFonts w:cs="Times New Roman"/>
                <w:szCs w:val="24"/>
              </w:rPr>
              <w:t xml:space="preserve">chool </w:t>
            </w:r>
            <w:r w:rsidR="009A3336">
              <w:rPr>
                <w:rFonts w:cs="Times New Roman"/>
                <w:szCs w:val="24"/>
              </w:rPr>
              <w:t>f</w:t>
            </w:r>
            <w:r w:rsidR="00893447">
              <w:rPr>
                <w:rFonts w:cs="Times New Roman"/>
                <w:szCs w:val="24"/>
              </w:rPr>
              <w:t xml:space="preserve">ood </w:t>
            </w:r>
            <w:r w:rsidR="009A3336">
              <w:rPr>
                <w:rFonts w:cs="Times New Roman"/>
                <w:szCs w:val="24"/>
              </w:rPr>
              <w:t>a</w:t>
            </w:r>
            <w:r w:rsidR="00893447">
              <w:rPr>
                <w:rFonts w:cs="Times New Roman"/>
                <w:szCs w:val="24"/>
              </w:rPr>
              <w:t>uthorities (</w:t>
            </w:r>
            <w:r>
              <w:rPr>
                <w:rFonts w:cs="Times New Roman"/>
                <w:szCs w:val="24"/>
              </w:rPr>
              <w:t>SFAs</w:t>
            </w:r>
            <w:r w:rsidR="00893447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 xml:space="preserve"> to operate </w:t>
            </w:r>
            <w:r w:rsidR="009A3336">
              <w:rPr>
                <w:rFonts w:cs="Times New Roman"/>
                <w:szCs w:val="24"/>
              </w:rPr>
              <w:t xml:space="preserve">the </w:t>
            </w:r>
            <w:r>
              <w:rPr>
                <w:rFonts w:cs="Times New Roman"/>
                <w:szCs w:val="24"/>
              </w:rPr>
              <w:t>SSO</w:t>
            </w:r>
            <w:r w:rsidR="00C8184B">
              <w:rPr>
                <w:rFonts w:cs="Times New Roman"/>
                <w:szCs w:val="24"/>
              </w:rPr>
              <w:t xml:space="preserve"> through </w:t>
            </w:r>
            <w:r w:rsidR="002D402D">
              <w:rPr>
                <w:rFonts w:cs="Times New Roman"/>
                <w:szCs w:val="24"/>
              </w:rPr>
              <w:t>June 30, 2021.</w:t>
            </w:r>
          </w:p>
          <w:p w14:paraId="58787A5A" w14:textId="55F7C3C1" w:rsidR="001D1C2E" w:rsidRPr="00207F23" w:rsidRDefault="001D1C2E" w:rsidP="003B6A8B">
            <w:pPr>
              <w:spacing w:before="240"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Effective through </w:t>
            </w:r>
            <w:r w:rsidR="003B6A8B">
              <w:rPr>
                <w:rFonts w:cs="Times New Roman"/>
                <w:b/>
                <w:szCs w:val="24"/>
              </w:rPr>
              <w:t>June 30, 2021</w:t>
            </w:r>
            <w:r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700" w:type="dxa"/>
          </w:tcPr>
          <w:p w14:paraId="6CAC91CB" w14:textId="541C431F" w:rsidR="001D4683" w:rsidRDefault="001D4683" w:rsidP="001D4683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Sponsors must request to elect this waiver from </w:t>
            </w:r>
            <w:r w:rsidR="009A3336">
              <w:rPr>
                <w:rFonts w:cs="Times New Roman"/>
                <w:szCs w:val="24"/>
              </w:rPr>
              <w:t xml:space="preserve">the </w:t>
            </w:r>
            <w:r>
              <w:rPr>
                <w:rFonts w:cs="Times New Roman"/>
                <w:szCs w:val="24"/>
              </w:rPr>
              <w:t xml:space="preserve">VDOE by completing the </w:t>
            </w:r>
            <w:hyperlink r:id="rId9" w:history="1">
              <w:r w:rsidR="009A3336">
                <w:rPr>
                  <w:rStyle w:val="Hyperlink"/>
                  <w:rFonts w:cs="Times New Roman"/>
                  <w:szCs w:val="24"/>
                </w:rPr>
                <w:t>2020-2021 SSO/SFSP Waiver Survey</w:t>
              </w:r>
            </w:hyperlink>
            <w:r>
              <w:rPr>
                <w:rFonts w:cs="Times New Roman"/>
                <w:szCs w:val="24"/>
              </w:rPr>
              <w:t xml:space="preserve">. </w:t>
            </w:r>
          </w:p>
          <w:p w14:paraId="4C345507" w14:textId="77777777" w:rsidR="001D1C2E" w:rsidRDefault="001D1C2E" w:rsidP="00AA6707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510" w:type="dxa"/>
          </w:tcPr>
          <w:p w14:paraId="2F7D3EAB" w14:textId="11FAAEBA" w:rsidR="001D1C2E" w:rsidRDefault="001D1C2E" w:rsidP="000E1C1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summary of the use of the </w:t>
            </w:r>
            <w:r w:rsidR="00893447">
              <w:rPr>
                <w:rFonts w:cs="Times New Roman"/>
                <w:szCs w:val="24"/>
              </w:rPr>
              <w:t xml:space="preserve">waiver </w:t>
            </w:r>
            <w:r>
              <w:rPr>
                <w:rFonts w:cs="Times New Roman"/>
                <w:szCs w:val="24"/>
              </w:rPr>
              <w:t>by the state agency and local program operators.</w:t>
            </w:r>
          </w:p>
          <w:p w14:paraId="0EAEBAF2" w14:textId="1DE077D1" w:rsidR="001D1C2E" w:rsidRDefault="001D1C2E" w:rsidP="0089344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Times New Roman"/>
                <w:szCs w:val="24"/>
              </w:rPr>
            </w:pPr>
            <w:r w:rsidRPr="00AA6707">
              <w:rPr>
                <w:rFonts w:cs="Times New Roman"/>
                <w:szCs w:val="24"/>
              </w:rPr>
              <w:t xml:space="preserve">A description of whether and how this </w:t>
            </w:r>
            <w:r w:rsidR="00893447">
              <w:rPr>
                <w:rFonts w:cs="Times New Roman"/>
                <w:szCs w:val="24"/>
              </w:rPr>
              <w:t>waiver</w:t>
            </w:r>
            <w:r w:rsidR="00893447" w:rsidRPr="00AA6707">
              <w:rPr>
                <w:rFonts w:cs="Times New Roman"/>
                <w:szCs w:val="24"/>
              </w:rPr>
              <w:t xml:space="preserve"> </w:t>
            </w:r>
            <w:r w:rsidRPr="00AA6707">
              <w:rPr>
                <w:rFonts w:cs="Times New Roman"/>
                <w:szCs w:val="24"/>
              </w:rPr>
              <w:t>resulted in improved services to program participants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1D4683" w:rsidRPr="00833382" w14:paraId="20FF91D3" w14:textId="77777777" w:rsidTr="001D1C2E">
        <w:tc>
          <w:tcPr>
            <w:tcW w:w="3780" w:type="dxa"/>
          </w:tcPr>
          <w:p w14:paraId="36A83588" w14:textId="7B4BF5AA" w:rsidR="001D4683" w:rsidRDefault="001D4683" w:rsidP="00601BC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Nationwide Waiver to Allow Area Eligibility for Closed Enrolled Sites in the SFSP and the SSO</w:t>
            </w:r>
          </w:p>
        </w:tc>
        <w:tc>
          <w:tcPr>
            <w:tcW w:w="3240" w:type="dxa"/>
          </w:tcPr>
          <w:p w14:paraId="71A5E194" w14:textId="5B47F100" w:rsidR="001D4683" w:rsidRDefault="001D4683" w:rsidP="001D4683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This waives the requirements for closed enrolled sties under </w:t>
            </w:r>
            <w:r w:rsidR="009A3336">
              <w:rPr>
                <w:rFonts w:cs="Times New Roman"/>
                <w:szCs w:val="24"/>
              </w:rPr>
              <w:t xml:space="preserve">the </w:t>
            </w:r>
            <w:r>
              <w:rPr>
                <w:rFonts w:cs="Times New Roman"/>
                <w:szCs w:val="24"/>
              </w:rPr>
              <w:t xml:space="preserve">SSO to collect income applications to determine that 50 percent of the children are eligible </w:t>
            </w:r>
            <w:proofErr w:type="gramStart"/>
            <w:r>
              <w:rPr>
                <w:rFonts w:cs="Times New Roman"/>
                <w:szCs w:val="24"/>
              </w:rPr>
              <w:t>for free</w:t>
            </w:r>
            <w:proofErr w:type="gramEnd"/>
            <w:r>
              <w:rPr>
                <w:rFonts w:cs="Times New Roman"/>
                <w:szCs w:val="24"/>
              </w:rPr>
              <w:t xml:space="preserve"> and reduced</w:t>
            </w:r>
            <w:r w:rsidR="009A333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>price meals.</w:t>
            </w:r>
          </w:p>
          <w:p w14:paraId="6E1A7F3D" w14:textId="2C0C70FC" w:rsidR="001D4683" w:rsidRDefault="001D4683" w:rsidP="001D4683">
            <w:pPr>
              <w:spacing w:before="24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Effective through </w:t>
            </w:r>
            <w:r w:rsidR="003B6A8B">
              <w:rPr>
                <w:rFonts w:cs="Times New Roman"/>
                <w:b/>
                <w:szCs w:val="24"/>
              </w:rPr>
              <w:t>June 30, 2021</w:t>
            </w:r>
            <w:r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700" w:type="dxa"/>
          </w:tcPr>
          <w:p w14:paraId="7F5C291D" w14:textId="0D4B32E8" w:rsidR="001D4683" w:rsidRDefault="001D4683" w:rsidP="001D4683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Sponsors must request to elect this waiver from </w:t>
            </w:r>
            <w:r w:rsidR="009A3336">
              <w:rPr>
                <w:rFonts w:cs="Times New Roman"/>
                <w:szCs w:val="24"/>
              </w:rPr>
              <w:t xml:space="preserve">the </w:t>
            </w:r>
            <w:r>
              <w:rPr>
                <w:rFonts w:cs="Times New Roman"/>
                <w:szCs w:val="24"/>
              </w:rPr>
              <w:t xml:space="preserve">VDOE by completing the </w:t>
            </w:r>
            <w:hyperlink r:id="rId10" w:history="1">
              <w:r w:rsidR="009A3336">
                <w:rPr>
                  <w:rStyle w:val="Hyperlink"/>
                  <w:rFonts w:cs="Times New Roman"/>
                  <w:szCs w:val="24"/>
                </w:rPr>
                <w:t>2020-2021 SSO/SFSP Waiver Survey</w:t>
              </w:r>
            </w:hyperlink>
            <w:r w:rsidR="009A3336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3510" w:type="dxa"/>
          </w:tcPr>
          <w:p w14:paraId="69518DE2" w14:textId="5E41EE83" w:rsidR="001D4683" w:rsidRDefault="001D4683" w:rsidP="001D468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summary of the use of the </w:t>
            </w:r>
            <w:r w:rsidR="00893447">
              <w:rPr>
                <w:rFonts w:cs="Times New Roman"/>
                <w:szCs w:val="24"/>
              </w:rPr>
              <w:t xml:space="preserve">waiver </w:t>
            </w:r>
            <w:r>
              <w:rPr>
                <w:rFonts w:cs="Times New Roman"/>
                <w:szCs w:val="24"/>
              </w:rPr>
              <w:t>by the state agency and local program operators.</w:t>
            </w:r>
          </w:p>
          <w:p w14:paraId="0DA228B0" w14:textId="7D505216" w:rsidR="001D4683" w:rsidRPr="00337491" w:rsidRDefault="001D4683" w:rsidP="00893447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Times New Roman"/>
                <w:szCs w:val="24"/>
              </w:rPr>
            </w:pPr>
            <w:r w:rsidRPr="00337491">
              <w:rPr>
                <w:rFonts w:cs="Times New Roman"/>
                <w:szCs w:val="24"/>
              </w:rPr>
              <w:t xml:space="preserve">A description of whether and how this </w:t>
            </w:r>
            <w:r w:rsidR="00893447">
              <w:rPr>
                <w:rFonts w:cs="Times New Roman"/>
                <w:szCs w:val="24"/>
              </w:rPr>
              <w:t>waiver</w:t>
            </w:r>
            <w:r w:rsidR="00893447" w:rsidRPr="00337491">
              <w:rPr>
                <w:rFonts w:cs="Times New Roman"/>
                <w:szCs w:val="24"/>
              </w:rPr>
              <w:t xml:space="preserve"> </w:t>
            </w:r>
            <w:r w:rsidRPr="00337491">
              <w:rPr>
                <w:rFonts w:cs="Times New Roman"/>
                <w:szCs w:val="24"/>
              </w:rPr>
              <w:t>resulted in improved services to program participants.</w:t>
            </w:r>
          </w:p>
        </w:tc>
      </w:tr>
      <w:tr w:rsidR="001D4683" w:rsidRPr="00833382" w14:paraId="19D5F423" w14:textId="77777777" w:rsidTr="001D1C2E">
        <w:tc>
          <w:tcPr>
            <w:tcW w:w="3780" w:type="dxa"/>
          </w:tcPr>
          <w:p w14:paraId="3A7A80B5" w14:textId="2CC73B4A" w:rsidR="001D4683" w:rsidRDefault="001D4683" w:rsidP="00601BC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Nationwide Waiver of Meal Service Time Restrictions in SFSP and SSO</w:t>
            </w:r>
            <w:r w:rsidR="009A333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08D94807" w14:textId="546F5959" w:rsidR="001D4683" w:rsidRDefault="001D4683" w:rsidP="001D4683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This waiver eliminates the requirements that three hours elapse between the beginning of one meal and the beginning of another, supper must begin no later than 7</w:t>
            </w:r>
            <w:r w:rsidR="009A3336">
              <w:rPr>
                <w:rFonts w:cs="Times New Roman"/>
                <w:szCs w:val="24"/>
              </w:rPr>
              <w:t>:00</w:t>
            </w:r>
            <w:r>
              <w:rPr>
                <w:rFonts w:cs="Times New Roman"/>
                <w:szCs w:val="24"/>
              </w:rPr>
              <w:t xml:space="preserve"> p.m. and extend beyond 8</w:t>
            </w:r>
            <w:r w:rsidR="009A3336">
              <w:rPr>
                <w:rFonts w:cs="Times New Roman"/>
                <w:szCs w:val="24"/>
              </w:rPr>
              <w:t>:00</w:t>
            </w:r>
            <w:r>
              <w:rPr>
                <w:rFonts w:cs="Times New Roman"/>
                <w:szCs w:val="24"/>
              </w:rPr>
              <w:t xml:space="preserve"> p.m., and service for lunch and supper is limited to two hours and breakfast and snack to one hour. This </w:t>
            </w:r>
            <w:r w:rsidR="000E5AB9">
              <w:rPr>
                <w:rFonts w:cs="Times New Roman"/>
                <w:szCs w:val="24"/>
              </w:rPr>
              <w:t xml:space="preserve">waiver </w:t>
            </w:r>
            <w:r>
              <w:rPr>
                <w:rFonts w:cs="Times New Roman"/>
                <w:szCs w:val="24"/>
              </w:rPr>
              <w:t>lifts all restrictions on duration of meal service and elapsed time.</w:t>
            </w:r>
          </w:p>
          <w:p w14:paraId="08A86F1B" w14:textId="290FC734" w:rsidR="001D4683" w:rsidRDefault="001D4683" w:rsidP="001D4683">
            <w:pPr>
              <w:spacing w:before="24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Effective through </w:t>
            </w:r>
            <w:r w:rsidR="003B6A8B">
              <w:rPr>
                <w:rFonts w:cs="Times New Roman"/>
                <w:b/>
                <w:szCs w:val="24"/>
              </w:rPr>
              <w:t>June 30, 2021</w:t>
            </w:r>
            <w:r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700" w:type="dxa"/>
          </w:tcPr>
          <w:p w14:paraId="65C75486" w14:textId="6FADF21F" w:rsidR="001D4683" w:rsidRDefault="001D4683" w:rsidP="001D4683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Sponsors must request to elect this waiver from </w:t>
            </w:r>
            <w:r w:rsidR="009A3336">
              <w:rPr>
                <w:rFonts w:cs="Times New Roman"/>
                <w:szCs w:val="24"/>
              </w:rPr>
              <w:t xml:space="preserve">the </w:t>
            </w:r>
            <w:r>
              <w:rPr>
                <w:rFonts w:cs="Times New Roman"/>
                <w:szCs w:val="24"/>
              </w:rPr>
              <w:t xml:space="preserve">VDOE by completing the </w:t>
            </w:r>
            <w:hyperlink r:id="rId11" w:history="1">
              <w:r w:rsidR="009A3336">
                <w:rPr>
                  <w:rStyle w:val="Hyperlink"/>
                  <w:rFonts w:cs="Times New Roman"/>
                  <w:szCs w:val="24"/>
                </w:rPr>
                <w:t>2020-2021 SSO/SFSP Waiver Survey</w:t>
              </w:r>
            </w:hyperlink>
            <w:r w:rsidR="009A3336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3510" w:type="dxa"/>
          </w:tcPr>
          <w:p w14:paraId="0E12006F" w14:textId="37AF3856" w:rsidR="001D4683" w:rsidRDefault="001D4683" w:rsidP="001D468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summary of the use of the </w:t>
            </w:r>
            <w:r w:rsidR="00AE5609">
              <w:rPr>
                <w:rFonts w:cs="Times New Roman"/>
                <w:szCs w:val="24"/>
              </w:rPr>
              <w:t xml:space="preserve">waiver </w:t>
            </w:r>
            <w:r>
              <w:rPr>
                <w:rFonts w:cs="Times New Roman"/>
                <w:szCs w:val="24"/>
              </w:rPr>
              <w:t>by the state agency and local program operators.</w:t>
            </w:r>
          </w:p>
          <w:p w14:paraId="2B027F2F" w14:textId="3D325189" w:rsidR="001D4683" w:rsidRDefault="001D4683" w:rsidP="00AE560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Times New Roman"/>
                <w:szCs w:val="24"/>
              </w:rPr>
            </w:pPr>
            <w:r w:rsidRPr="00AA6707">
              <w:rPr>
                <w:rFonts w:cs="Times New Roman"/>
                <w:szCs w:val="24"/>
              </w:rPr>
              <w:t xml:space="preserve">A description of whether and how this </w:t>
            </w:r>
            <w:r w:rsidR="00AE5609">
              <w:rPr>
                <w:rFonts w:cs="Times New Roman"/>
                <w:szCs w:val="24"/>
              </w:rPr>
              <w:t>waiver</w:t>
            </w:r>
            <w:r w:rsidR="00AE5609" w:rsidRPr="00AA6707">
              <w:rPr>
                <w:rFonts w:cs="Times New Roman"/>
                <w:szCs w:val="24"/>
              </w:rPr>
              <w:t xml:space="preserve"> </w:t>
            </w:r>
            <w:r w:rsidRPr="00AA6707">
              <w:rPr>
                <w:rFonts w:cs="Times New Roman"/>
                <w:szCs w:val="24"/>
              </w:rPr>
              <w:t>resulted in improved services to program participants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1D4683" w:rsidRPr="00833382" w14:paraId="085EA046" w14:textId="77777777" w:rsidTr="001D1C2E">
        <w:tc>
          <w:tcPr>
            <w:tcW w:w="3780" w:type="dxa"/>
          </w:tcPr>
          <w:p w14:paraId="081D51B9" w14:textId="57DF31E1" w:rsidR="001D4683" w:rsidRDefault="001D4683" w:rsidP="00601BC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Nationwide </w:t>
            </w:r>
            <w:r w:rsidR="00AE5609">
              <w:rPr>
                <w:rFonts w:cs="Times New Roman"/>
                <w:szCs w:val="24"/>
              </w:rPr>
              <w:t xml:space="preserve">Waiver </w:t>
            </w:r>
            <w:r>
              <w:rPr>
                <w:rFonts w:cs="Times New Roman"/>
                <w:szCs w:val="24"/>
              </w:rPr>
              <w:t>to Allow Non-congregate Feeding in the SFPS and SSO</w:t>
            </w:r>
            <w:r w:rsidR="009A333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4D42A46F" w14:textId="3BBE248E" w:rsidR="001D4683" w:rsidRDefault="001D4683" w:rsidP="001D4683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This </w:t>
            </w:r>
            <w:r w:rsidR="00AE5609">
              <w:rPr>
                <w:rFonts w:cs="Times New Roman"/>
                <w:szCs w:val="24"/>
              </w:rPr>
              <w:t xml:space="preserve">waiver </w:t>
            </w:r>
            <w:r>
              <w:rPr>
                <w:rFonts w:cs="Times New Roman"/>
                <w:szCs w:val="24"/>
              </w:rPr>
              <w:t xml:space="preserve">allows meals to </w:t>
            </w:r>
            <w:proofErr w:type="gramStart"/>
            <w:r>
              <w:rPr>
                <w:rFonts w:cs="Times New Roman"/>
                <w:szCs w:val="24"/>
              </w:rPr>
              <w:t>be served</w:t>
            </w:r>
            <w:proofErr w:type="gramEnd"/>
            <w:r>
              <w:rPr>
                <w:rFonts w:cs="Times New Roman"/>
                <w:szCs w:val="24"/>
              </w:rPr>
              <w:t xml:space="preserve"> in a non-congregate setting. </w:t>
            </w:r>
          </w:p>
          <w:p w14:paraId="67D4DFC0" w14:textId="187C717B" w:rsidR="001D4683" w:rsidRDefault="001D4683" w:rsidP="001D4683">
            <w:pPr>
              <w:spacing w:before="24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Effective through </w:t>
            </w:r>
            <w:r w:rsidR="003B6A8B">
              <w:rPr>
                <w:rFonts w:cs="Times New Roman"/>
                <w:b/>
                <w:szCs w:val="24"/>
              </w:rPr>
              <w:t>June 30, 2021</w:t>
            </w:r>
            <w:r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700" w:type="dxa"/>
          </w:tcPr>
          <w:p w14:paraId="6A4D29DB" w14:textId="252ACE2E" w:rsidR="009A3336" w:rsidRDefault="001D4683" w:rsidP="009A3336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Sponsors must request to elect this waiver from </w:t>
            </w:r>
            <w:r w:rsidR="009A3336">
              <w:rPr>
                <w:rFonts w:cs="Times New Roman"/>
                <w:szCs w:val="24"/>
              </w:rPr>
              <w:t xml:space="preserve">the </w:t>
            </w:r>
            <w:r>
              <w:rPr>
                <w:rFonts w:cs="Times New Roman"/>
                <w:szCs w:val="24"/>
              </w:rPr>
              <w:t xml:space="preserve">VDOE by completing the </w:t>
            </w:r>
            <w:hyperlink r:id="rId12" w:history="1">
              <w:r w:rsidR="009A3336">
                <w:rPr>
                  <w:rStyle w:val="Hyperlink"/>
                  <w:rFonts w:cs="Times New Roman"/>
                  <w:szCs w:val="24"/>
                </w:rPr>
                <w:t>2020-2021 SSO/SFSP Waiver Survey</w:t>
              </w:r>
            </w:hyperlink>
            <w:r w:rsidR="009A3336">
              <w:rPr>
                <w:rFonts w:cs="Times New Roman"/>
                <w:szCs w:val="24"/>
              </w:rPr>
              <w:t xml:space="preserve">. </w:t>
            </w:r>
          </w:p>
          <w:p w14:paraId="5A227B49" w14:textId="38CF7391" w:rsidR="001D4683" w:rsidRDefault="001D4683" w:rsidP="001D468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3B3B679B" w14:textId="77777777" w:rsidR="001D4683" w:rsidRDefault="001D4683" w:rsidP="001D4683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510" w:type="dxa"/>
          </w:tcPr>
          <w:p w14:paraId="3748A346" w14:textId="2BAF0F20" w:rsidR="001D4683" w:rsidRDefault="001D4683" w:rsidP="001D468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summary of the use of the </w:t>
            </w:r>
            <w:r w:rsidR="00AE5609">
              <w:rPr>
                <w:rFonts w:cs="Times New Roman"/>
                <w:szCs w:val="24"/>
              </w:rPr>
              <w:t xml:space="preserve">waiver </w:t>
            </w:r>
            <w:r>
              <w:rPr>
                <w:rFonts w:cs="Times New Roman"/>
                <w:szCs w:val="24"/>
              </w:rPr>
              <w:t>by the state agency and local program operators.</w:t>
            </w:r>
          </w:p>
          <w:p w14:paraId="710282BE" w14:textId="75E40C3F" w:rsidR="001D4683" w:rsidRDefault="001D4683" w:rsidP="00AE560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Times New Roman"/>
                <w:szCs w:val="24"/>
              </w:rPr>
            </w:pPr>
            <w:r w:rsidRPr="00AA6707">
              <w:rPr>
                <w:rFonts w:cs="Times New Roman"/>
                <w:szCs w:val="24"/>
              </w:rPr>
              <w:t xml:space="preserve">A description of whether and how this </w:t>
            </w:r>
            <w:r w:rsidR="00AE5609">
              <w:rPr>
                <w:rFonts w:cs="Times New Roman"/>
                <w:szCs w:val="24"/>
              </w:rPr>
              <w:t>waiver</w:t>
            </w:r>
            <w:r w:rsidR="00AE5609" w:rsidRPr="00AA6707">
              <w:rPr>
                <w:rFonts w:cs="Times New Roman"/>
                <w:szCs w:val="24"/>
              </w:rPr>
              <w:t xml:space="preserve"> </w:t>
            </w:r>
            <w:r w:rsidRPr="00AA6707">
              <w:rPr>
                <w:rFonts w:cs="Times New Roman"/>
                <w:szCs w:val="24"/>
              </w:rPr>
              <w:t>resulted in improved services to program participants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1D4683" w:rsidRPr="00833382" w14:paraId="03FEBFBD" w14:textId="77777777" w:rsidTr="001D1C2E">
        <w:tc>
          <w:tcPr>
            <w:tcW w:w="3780" w:type="dxa"/>
          </w:tcPr>
          <w:p w14:paraId="690360F6" w14:textId="3E96B582" w:rsidR="001D4683" w:rsidRDefault="001D4683" w:rsidP="00601BC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Nationwide Waiver to Allow Parents and Guardians to Pick</w:t>
            </w:r>
            <w:r w:rsidR="009A3336">
              <w:rPr>
                <w:rFonts w:cs="Times New Roman"/>
                <w:szCs w:val="24"/>
              </w:rPr>
              <w:t>-u</w:t>
            </w:r>
            <w:r>
              <w:rPr>
                <w:rFonts w:cs="Times New Roman"/>
                <w:szCs w:val="24"/>
              </w:rPr>
              <w:t>p Meals for Children</w:t>
            </w:r>
            <w:r w:rsidR="009A333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4B699BC9" w14:textId="48B6D3FB" w:rsidR="001D4683" w:rsidRDefault="001D4683" w:rsidP="001D4683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This </w:t>
            </w:r>
            <w:r w:rsidR="00AE5609">
              <w:rPr>
                <w:rFonts w:cs="Times New Roman"/>
                <w:szCs w:val="24"/>
              </w:rPr>
              <w:t xml:space="preserve">waiver </w:t>
            </w:r>
            <w:r>
              <w:rPr>
                <w:rFonts w:cs="Times New Roman"/>
                <w:szCs w:val="24"/>
              </w:rPr>
              <w:t xml:space="preserve">allows meals to </w:t>
            </w:r>
            <w:proofErr w:type="gramStart"/>
            <w:r>
              <w:rPr>
                <w:rFonts w:cs="Times New Roman"/>
                <w:szCs w:val="24"/>
              </w:rPr>
              <w:t>be distributed</w:t>
            </w:r>
            <w:proofErr w:type="gramEnd"/>
            <w:r>
              <w:rPr>
                <w:rFonts w:cs="Times New Roman"/>
                <w:szCs w:val="24"/>
              </w:rPr>
              <w:t xml:space="preserve"> to parents or guardians to take home to their children. In order to elect this waiver, sponsors </w:t>
            </w:r>
            <w:proofErr w:type="gramStart"/>
            <w:r>
              <w:rPr>
                <w:rFonts w:cs="Times New Roman"/>
                <w:szCs w:val="24"/>
              </w:rPr>
              <w:t>must be approved</w:t>
            </w:r>
            <w:proofErr w:type="gramEnd"/>
            <w:r>
              <w:rPr>
                <w:rFonts w:cs="Times New Roman"/>
                <w:szCs w:val="24"/>
              </w:rPr>
              <w:t xml:space="preserve"> to provide meals in a non-congregate setting. </w:t>
            </w:r>
          </w:p>
          <w:p w14:paraId="41ABA4FE" w14:textId="60B4C3FB" w:rsidR="001D4683" w:rsidRDefault="001D4683" w:rsidP="001D4683">
            <w:pPr>
              <w:spacing w:before="24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Effective through </w:t>
            </w:r>
            <w:r w:rsidR="003B6A8B">
              <w:rPr>
                <w:rFonts w:cs="Times New Roman"/>
                <w:b/>
                <w:szCs w:val="24"/>
              </w:rPr>
              <w:t>June 30, 2021</w:t>
            </w:r>
            <w:r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700" w:type="dxa"/>
          </w:tcPr>
          <w:p w14:paraId="19FDBB1C" w14:textId="48E49F01" w:rsidR="009A3336" w:rsidRDefault="001D4683" w:rsidP="009A3336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Sponsors must request to elect this waiver from </w:t>
            </w:r>
            <w:r w:rsidR="009A3336">
              <w:rPr>
                <w:rFonts w:cs="Times New Roman"/>
                <w:szCs w:val="24"/>
              </w:rPr>
              <w:t xml:space="preserve">the </w:t>
            </w:r>
            <w:r>
              <w:rPr>
                <w:rFonts w:cs="Times New Roman"/>
                <w:szCs w:val="24"/>
              </w:rPr>
              <w:t xml:space="preserve">VDOE by completing the </w:t>
            </w:r>
            <w:hyperlink r:id="rId13" w:history="1">
              <w:r w:rsidR="009A3336">
                <w:rPr>
                  <w:rStyle w:val="Hyperlink"/>
                  <w:rFonts w:cs="Times New Roman"/>
                  <w:szCs w:val="24"/>
                </w:rPr>
                <w:t>2020-2021 SSO/SFSP Waiver Survey</w:t>
              </w:r>
            </w:hyperlink>
            <w:r w:rsidR="009A3336">
              <w:rPr>
                <w:rFonts w:cs="Times New Roman"/>
                <w:szCs w:val="24"/>
              </w:rPr>
              <w:t xml:space="preserve">. </w:t>
            </w:r>
          </w:p>
          <w:p w14:paraId="57B42FA3" w14:textId="367FF2D3" w:rsidR="001D4683" w:rsidRDefault="001D4683" w:rsidP="001D468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3057825F" w14:textId="77777777" w:rsidR="001D4683" w:rsidRDefault="001D4683" w:rsidP="001D4683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510" w:type="dxa"/>
          </w:tcPr>
          <w:p w14:paraId="6EF56793" w14:textId="7B3F7CBE" w:rsidR="001D4683" w:rsidRDefault="001D4683" w:rsidP="001D468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summary of the use of the </w:t>
            </w:r>
            <w:r w:rsidR="00AE5609">
              <w:rPr>
                <w:rFonts w:cs="Times New Roman"/>
                <w:szCs w:val="24"/>
              </w:rPr>
              <w:t xml:space="preserve">waiver </w:t>
            </w:r>
            <w:r>
              <w:rPr>
                <w:rFonts w:cs="Times New Roman"/>
                <w:szCs w:val="24"/>
              </w:rPr>
              <w:t>by the state agency and local program operators.</w:t>
            </w:r>
          </w:p>
          <w:p w14:paraId="28313D05" w14:textId="4DA17198" w:rsidR="001D4683" w:rsidRDefault="001D4683" w:rsidP="00AE560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Times New Roman"/>
                <w:szCs w:val="24"/>
              </w:rPr>
            </w:pPr>
            <w:r w:rsidRPr="00AA6707">
              <w:rPr>
                <w:rFonts w:cs="Times New Roman"/>
                <w:szCs w:val="24"/>
              </w:rPr>
              <w:t xml:space="preserve">A description of whether and how this </w:t>
            </w:r>
            <w:r w:rsidR="00AE5609">
              <w:rPr>
                <w:rFonts w:cs="Times New Roman"/>
                <w:szCs w:val="24"/>
              </w:rPr>
              <w:t>waiver</w:t>
            </w:r>
            <w:r w:rsidR="00AE5609" w:rsidRPr="00AA6707">
              <w:rPr>
                <w:rFonts w:cs="Times New Roman"/>
                <w:szCs w:val="24"/>
              </w:rPr>
              <w:t xml:space="preserve"> </w:t>
            </w:r>
            <w:r w:rsidRPr="00AA6707">
              <w:rPr>
                <w:rFonts w:cs="Times New Roman"/>
                <w:szCs w:val="24"/>
              </w:rPr>
              <w:t>resulted in improved services to program participants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1D4683" w:rsidRPr="00833382" w14:paraId="4EEDD90C" w14:textId="77777777" w:rsidTr="001D1C2E">
        <w:tc>
          <w:tcPr>
            <w:tcW w:w="3780" w:type="dxa"/>
          </w:tcPr>
          <w:p w14:paraId="5B3CF06B" w14:textId="4C748A05" w:rsidR="001D4683" w:rsidRDefault="001D4683" w:rsidP="00601BC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Nationwide Waiver to Extend Are</w:t>
            </w:r>
            <w:r w:rsidR="00AE5609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 xml:space="preserve"> Eligibility Waivers</w:t>
            </w:r>
            <w:r w:rsidR="009A333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5945E2CE" w14:textId="402F9047" w:rsidR="001D4683" w:rsidRDefault="001D4683" w:rsidP="001D4683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This waiver allows for the continuation of the suspension of area eligibility requirements for all eligible sponsors operating the SSO. Program requirements require that open sites must be located in </w:t>
            </w:r>
            <w:r w:rsidR="00AE5609">
              <w:rPr>
                <w:rFonts w:cs="Times New Roman"/>
                <w:szCs w:val="24"/>
              </w:rPr>
              <w:t xml:space="preserve">an </w:t>
            </w:r>
            <w:r>
              <w:rPr>
                <w:rFonts w:cs="Times New Roman"/>
                <w:szCs w:val="24"/>
              </w:rPr>
              <w:t xml:space="preserve">area where at least 50 percent of </w:t>
            </w:r>
            <w:r w:rsidR="00AE5609">
              <w:rPr>
                <w:rFonts w:cs="Times New Roman"/>
                <w:szCs w:val="24"/>
              </w:rPr>
              <w:t>National School Lunch Program (</w:t>
            </w:r>
            <w:r>
              <w:rPr>
                <w:rFonts w:cs="Times New Roman"/>
                <w:szCs w:val="24"/>
              </w:rPr>
              <w:t>NSLP</w:t>
            </w:r>
            <w:r w:rsidR="00AE5609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 xml:space="preserve"> participants are eligible </w:t>
            </w:r>
            <w:proofErr w:type="gramStart"/>
            <w:r>
              <w:rPr>
                <w:rFonts w:cs="Times New Roman"/>
                <w:szCs w:val="24"/>
              </w:rPr>
              <w:t>for free</w:t>
            </w:r>
            <w:proofErr w:type="gramEnd"/>
            <w:r>
              <w:rPr>
                <w:rFonts w:cs="Times New Roman"/>
                <w:szCs w:val="24"/>
              </w:rPr>
              <w:t xml:space="preserve"> and reduced-price meals. This </w:t>
            </w:r>
            <w:r w:rsidR="00AE5609">
              <w:rPr>
                <w:rFonts w:cs="Times New Roman"/>
                <w:szCs w:val="24"/>
              </w:rPr>
              <w:t xml:space="preserve">waiver </w:t>
            </w:r>
            <w:r>
              <w:rPr>
                <w:rFonts w:cs="Times New Roman"/>
                <w:szCs w:val="24"/>
              </w:rPr>
              <w:t xml:space="preserve">allows </w:t>
            </w:r>
            <w:r w:rsidR="009A3336">
              <w:rPr>
                <w:rFonts w:cs="Times New Roman"/>
                <w:szCs w:val="24"/>
              </w:rPr>
              <w:t xml:space="preserve">the </w:t>
            </w:r>
            <w:r>
              <w:rPr>
                <w:rFonts w:cs="Times New Roman"/>
                <w:szCs w:val="24"/>
              </w:rPr>
              <w:t xml:space="preserve">VDOE to continue to approve sites that are below </w:t>
            </w:r>
            <w:r w:rsidR="00AE5609">
              <w:rPr>
                <w:rFonts w:cs="Times New Roman"/>
                <w:szCs w:val="24"/>
              </w:rPr>
              <w:t xml:space="preserve">the </w:t>
            </w:r>
            <w:r>
              <w:rPr>
                <w:rFonts w:cs="Times New Roman"/>
                <w:szCs w:val="24"/>
              </w:rPr>
              <w:t xml:space="preserve">50 percent </w:t>
            </w:r>
            <w:r w:rsidR="00AE5609">
              <w:rPr>
                <w:rFonts w:cs="Times New Roman"/>
                <w:szCs w:val="24"/>
              </w:rPr>
              <w:t>NSLP free and reduced-price meal participant threshold</w:t>
            </w:r>
            <w:r w:rsidR="009A3336">
              <w:rPr>
                <w:rFonts w:cs="Times New Roman"/>
                <w:szCs w:val="24"/>
              </w:rPr>
              <w:t>.</w:t>
            </w:r>
          </w:p>
          <w:p w14:paraId="4BE02392" w14:textId="2DFCE4E2" w:rsidR="001D4683" w:rsidRDefault="001D4683" w:rsidP="001D4683">
            <w:pPr>
              <w:spacing w:before="24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Effective through </w:t>
            </w:r>
            <w:r w:rsidR="003B6A8B">
              <w:rPr>
                <w:rFonts w:cs="Times New Roman"/>
                <w:b/>
                <w:szCs w:val="24"/>
              </w:rPr>
              <w:t>June 30, 2021</w:t>
            </w:r>
            <w:r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700" w:type="dxa"/>
          </w:tcPr>
          <w:p w14:paraId="5E4B92B1" w14:textId="0505F148" w:rsidR="009A3336" w:rsidRDefault="001D4683" w:rsidP="009A3336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Sponsors must request to elect this waiver from </w:t>
            </w:r>
            <w:r w:rsidR="009A3336">
              <w:rPr>
                <w:rFonts w:cs="Times New Roman"/>
                <w:szCs w:val="24"/>
              </w:rPr>
              <w:t xml:space="preserve">the </w:t>
            </w:r>
            <w:r>
              <w:rPr>
                <w:rFonts w:cs="Times New Roman"/>
                <w:szCs w:val="24"/>
              </w:rPr>
              <w:t xml:space="preserve">VDOE by completing the </w:t>
            </w:r>
            <w:hyperlink r:id="rId14" w:history="1">
              <w:r w:rsidR="009A3336">
                <w:rPr>
                  <w:rStyle w:val="Hyperlink"/>
                  <w:rFonts w:cs="Times New Roman"/>
                  <w:szCs w:val="24"/>
                </w:rPr>
                <w:t>2020-2021 SSO/SFSP Waiver Survey</w:t>
              </w:r>
            </w:hyperlink>
            <w:r w:rsidR="009A3336">
              <w:rPr>
                <w:rFonts w:cs="Times New Roman"/>
                <w:szCs w:val="24"/>
              </w:rPr>
              <w:t xml:space="preserve">. </w:t>
            </w:r>
          </w:p>
          <w:p w14:paraId="18D6E923" w14:textId="5E5C59CD" w:rsidR="001D4683" w:rsidRDefault="001D4683" w:rsidP="001D4683">
            <w:pPr>
              <w:spacing w:line="276" w:lineRule="auto"/>
              <w:rPr>
                <w:rFonts w:cs="Times New Roman"/>
                <w:szCs w:val="24"/>
              </w:rPr>
            </w:pPr>
          </w:p>
          <w:p w14:paraId="4640AD2C" w14:textId="77777777" w:rsidR="001D4683" w:rsidRDefault="001D4683" w:rsidP="001D4683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510" w:type="dxa"/>
          </w:tcPr>
          <w:p w14:paraId="51BDB3C0" w14:textId="3F8DA599" w:rsidR="001D4683" w:rsidRDefault="001D4683" w:rsidP="001D4683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summary of the use of the </w:t>
            </w:r>
            <w:r w:rsidR="00AE5609">
              <w:rPr>
                <w:rFonts w:cs="Times New Roman"/>
                <w:szCs w:val="24"/>
              </w:rPr>
              <w:t xml:space="preserve">waiver </w:t>
            </w:r>
            <w:r>
              <w:rPr>
                <w:rFonts w:cs="Times New Roman"/>
                <w:szCs w:val="24"/>
              </w:rPr>
              <w:t>by the state agency and local program operators.</w:t>
            </w:r>
          </w:p>
          <w:p w14:paraId="3A4046EE" w14:textId="3816AEE8" w:rsidR="001D4683" w:rsidRDefault="001D4683" w:rsidP="00AE560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Times New Roman"/>
                <w:szCs w:val="24"/>
              </w:rPr>
            </w:pPr>
            <w:r w:rsidRPr="00AA6707">
              <w:rPr>
                <w:rFonts w:cs="Times New Roman"/>
                <w:szCs w:val="24"/>
              </w:rPr>
              <w:t xml:space="preserve">A description of whether and how this </w:t>
            </w:r>
            <w:r w:rsidR="00AE5609">
              <w:rPr>
                <w:rFonts w:cs="Times New Roman"/>
                <w:szCs w:val="24"/>
              </w:rPr>
              <w:t>waiver</w:t>
            </w:r>
            <w:r w:rsidR="00AE5609" w:rsidRPr="00AA6707">
              <w:rPr>
                <w:rFonts w:cs="Times New Roman"/>
                <w:szCs w:val="24"/>
              </w:rPr>
              <w:t xml:space="preserve"> </w:t>
            </w:r>
            <w:r w:rsidRPr="00AA6707">
              <w:rPr>
                <w:rFonts w:cs="Times New Roman"/>
                <w:szCs w:val="24"/>
              </w:rPr>
              <w:t>resulted in improved services to program participants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3610F9" w:rsidRPr="00833382" w14:paraId="302DEEA8" w14:textId="77777777" w:rsidTr="001D1C2E">
        <w:tc>
          <w:tcPr>
            <w:tcW w:w="3780" w:type="dxa"/>
          </w:tcPr>
          <w:p w14:paraId="599231D3" w14:textId="22AB9B6F" w:rsidR="003610F9" w:rsidRDefault="003610F9" w:rsidP="00601BCA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Nationwide Waiver to Allow Meal Pattern Flexibility in the SFSP and the SSO</w:t>
            </w:r>
            <w:r w:rsidR="009A333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4FA69E8B" w14:textId="00991724" w:rsidR="003610F9" w:rsidRPr="00DB19ED" w:rsidRDefault="003610F9" w:rsidP="003610F9">
            <w:pPr>
              <w:spacing w:line="276" w:lineRule="auto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This waiver allows state agencies to approve flexibilities in meal pattern requirements in</w:t>
            </w:r>
            <w:r w:rsidR="009A3336">
              <w:rPr>
                <w:rFonts w:cs="Times New Roman"/>
                <w:szCs w:val="24"/>
              </w:rPr>
              <w:t xml:space="preserve"> the</w:t>
            </w:r>
            <w:r>
              <w:rPr>
                <w:rFonts w:cs="Times New Roman"/>
                <w:szCs w:val="24"/>
              </w:rPr>
              <w:t xml:space="preserve"> SSO. </w:t>
            </w:r>
            <w:r w:rsidRPr="00DB19ED">
              <w:rPr>
                <w:rFonts w:cs="Times New Roman"/>
                <w:b/>
                <w:szCs w:val="24"/>
              </w:rPr>
              <w:t>This also waives the requirement that school</w:t>
            </w:r>
            <w:r w:rsidR="009A3336">
              <w:rPr>
                <w:rFonts w:cs="Times New Roman"/>
                <w:b/>
                <w:szCs w:val="24"/>
              </w:rPr>
              <w:t>s</w:t>
            </w:r>
            <w:r w:rsidRPr="00DB19ED">
              <w:rPr>
                <w:rFonts w:cs="Times New Roman"/>
                <w:b/>
                <w:szCs w:val="24"/>
              </w:rPr>
              <w:t xml:space="preserve"> must offer students a variety (at least two different options) of fluid milk. </w:t>
            </w:r>
          </w:p>
          <w:p w14:paraId="588E5EE4" w14:textId="671574A8" w:rsidR="003610F9" w:rsidRDefault="003610F9" w:rsidP="003610F9">
            <w:pPr>
              <w:spacing w:before="240"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Effective through </w:t>
            </w:r>
            <w:r w:rsidR="003B6A8B">
              <w:rPr>
                <w:rFonts w:cs="Times New Roman"/>
                <w:b/>
                <w:szCs w:val="24"/>
              </w:rPr>
              <w:t>June 30, 2021</w:t>
            </w:r>
            <w:r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700" w:type="dxa"/>
          </w:tcPr>
          <w:p w14:paraId="26DD10B7" w14:textId="5191490F" w:rsidR="009A3336" w:rsidRDefault="003610F9" w:rsidP="009A3336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Sponsors must request to elect this waiver from </w:t>
            </w:r>
            <w:r w:rsidR="009A3336">
              <w:rPr>
                <w:rFonts w:cs="Times New Roman"/>
                <w:szCs w:val="24"/>
              </w:rPr>
              <w:t xml:space="preserve">the </w:t>
            </w:r>
            <w:r>
              <w:rPr>
                <w:rFonts w:cs="Times New Roman"/>
                <w:szCs w:val="24"/>
              </w:rPr>
              <w:t xml:space="preserve">VDOE by completing the </w:t>
            </w:r>
            <w:hyperlink r:id="rId15" w:history="1">
              <w:r w:rsidR="009A3336">
                <w:rPr>
                  <w:rStyle w:val="Hyperlink"/>
                  <w:rFonts w:cs="Times New Roman"/>
                  <w:szCs w:val="24"/>
                </w:rPr>
                <w:t>2020-2021 SSO/SFSP Waiver Survey</w:t>
              </w:r>
            </w:hyperlink>
            <w:r w:rsidR="009A3336">
              <w:rPr>
                <w:rFonts w:cs="Times New Roman"/>
                <w:szCs w:val="24"/>
              </w:rPr>
              <w:t xml:space="preserve">. </w:t>
            </w:r>
          </w:p>
          <w:p w14:paraId="0ADD8FA0" w14:textId="219B2284" w:rsidR="003610F9" w:rsidRDefault="003610F9" w:rsidP="003610F9">
            <w:pPr>
              <w:spacing w:line="276" w:lineRule="auto"/>
              <w:rPr>
                <w:rFonts w:cs="Times New Roman"/>
                <w:szCs w:val="24"/>
              </w:rPr>
            </w:pPr>
          </w:p>
          <w:p w14:paraId="3D175BBD" w14:textId="77777777" w:rsidR="003610F9" w:rsidRDefault="003610F9" w:rsidP="003610F9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3510" w:type="dxa"/>
          </w:tcPr>
          <w:p w14:paraId="102488DD" w14:textId="3F84C779" w:rsidR="003610F9" w:rsidRDefault="003610F9" w:rsidP="003610F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A summary of the use of the </w:t>
            </w:r>
            <w:r w:rsidR="00AE5609">
              <w:rPr>
                <w:rFonts w:cs="Times New Roman"/>
                <w:szCs w:val="24"/>
              </w:rPr>
              <w:t xml:space="preserve">waiver </w:t>
            </w:r>
            <w:r>
              <w:rPr>
                <w:rFonts w:cs="Times New Roman"/>
                <w:szCs w:val="24"/>
              </w:rPr>
              <w:t>by the state agency and local program operators.</w:t>
            </w:r>
          </w:p>
          <w:p w14:paraId="44273BCD" w14:textId="63E54A04" w:rsidR="003610F9" w:rsidRDefault="003610F9" w:rsidP="00AE5609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Times New Roman"/>
                <w:szCs w:val="24"/>
              </w:rPr>
            </w:pPr>
            <w:r w:rsidRPr="00AA6707">
              <w:rPr>
                <w:rFonts w:cs="Times New Roman"/>
                <w:szCs w:val="24"/>
              </w:rPr>
              <w:t xml:space="preserve">A description of whether and how this </w:t>
            </w:r>
            <w:r w:rsidR="00AE5609">
              <w:rPr>
                <w:rFonts w:cs="Times New Roman"/>
                <w:szCs w:val="24"/>
              </w:rPr>
              <w:t>waiver</w:t>
            </w:r>
            <w:r w:rsidR="00AE5609" w:rsidRPr="00AA6707">
              <w:rPr>
                <w:rFonts w:cs="Times New Roman"/>
                <w:szCs w:val="24"/>
              </w:rPr>
              <w:t xml:space="preserve"> </w:t>
            </w:r>
            <w:r w:rsidRPr="00AA6707">
              <w:rPr>
                <w:rFonts w:cs="Times New Roman"/>
                <w:szCs w:val="24"/>
              </w:rPr>
              <w:t>resulted in improved services to program participants</w:t>
            </w:r>
            <w:r>
              <w:rPr>
                <w:rFonts w:cs="Times New Roman"/>
                <w:szCs w:val="24"/>
              </w:rPr>
              <w:t>.</w:t>
            </w:r>
          </w:p>
        </w:tc>
      </w:tr>
    </w:tbl>
    <w:p w14:paraId="61F58C70" w14:textId="10EEAAC1" w:rsidR="00B81115" w:rsidRDefault="00B81115" w:rsidP="00BB07D8">
      <w:pPr>
        <w:spacing w:before="120" w:after="0"/>
        <w:rPr>
          <w:rFonts w:cs="Times New Roman"/>
          <w:szCs w:val="24"/>
        </w:rPr>
      </w:pPr>
    </w:p>
    <w:sectPr w:rsidR="00B81115" w:rsidSect="009C056E">
      <w:headerReference w:type="default" r:id="rId16"/>
      <w:headerReference w:type="first" r:id="rId1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10B8B" w14:textId="77777777" w:rsidR="00991EE8" w:rsidRDefault="00991EE8" w:rsidP="006F7E9A">
      <w:pPr>
        <w:spacing w:after="0" w:line="240" w:lineRule="auto"/>
      </w:pPr>
      <w:r>
        <w:separator/>
      </w:r>
    </w:p>
  </w:endnote>
  <w:endnote w:type="continuationSeparator" w:id="0">
    <w:p w14:paraId="5CA5F897" w14:textId="77777777" w:rsidR="00991EE8" w:rsidRDefault="00991EE8" w:rsidP="006F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F0CD9" w14:textId="77777777" w:rsidR="00991EE8" w:rsidRDefault="00991EE8" w:rsidP="006F7E9A">
      <w:pPr>
        <w:spacing w:after="0" w:line="240" w:lineRule="auto"/>
      </w:pPr>
      <w:r>
        <w:separator/>
      </w:r>
    </w:p>
  </w:footnote>
  <w:footnote w:type="continuationSeparator" w:id="0">
    <w:p w14:paraId="1D5DCF00" w14:textId="77777777" w:rsidR="00991EE8" w:rsidRDefault="00991EE8" w:rsidP="006F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CA6A5" w14:textId="068DAB03" w:rsidR="00790A65" w:rsidRPr="00782E26" w:rsidRDefault="00F7308D" w:rsidP="00790A65">
    <w:pPr>
      <w:keepNext/>
      <w:keepLines/>
      <w:spacing w:after="0" w:line="240" w:lineRule="auto"/>
      <w:jc w:val="right"/>
      <w:outlineLvl w:val="0"/>
      <w:rPr>
        <w:rFonts w:eastAsia="Times New Roman" w:cs="Times New Roman"/>
        <w:bCs/>
        <w:szCs w:val="24"/>
      </w:rPr>
    </w:pPr>
    <w:r>
      <w:rPr>
        <w:rFonts w:eastAsia="Times New Roman" w:cs="Times New Roman"/>
        <w:bCs/>
        <w:szCs w:val="24"/>
      </w:rPr>
      <w:t>Attachment C, SNP Memo #2020-2021-</w:t>
    </w:r>
    <w:r w:rsidR="004259CA">
      <w:rPr>
        <w:rFonts w:eastAsia="Times New Roman" w:cs="Times New Roman"/>
        <w:bCs/>
        <w:szCs w:val="24"/>
      </w:rPr>
      <w:t>31</w:t>
    </w:r>
  </w:p>
  <w:p w14:paraId="03C88547" w14:textId="355ACE17" w:rsidR="006F7E9A" w:rsidRDefault="00401917" w:rsidP="00790A65">
    <w:pPr>
      <w:pStyle w:val="Header"/>
      <w:jc w:val="right"/>
    </w:pPr>
    <w:r>
      <w:rPr>
        <w:rFonts w:eastAsia="Times New Roman" w:cs="Times New Roman"/>
        <w:bCs/>
        <w:szCs w:val="24"/>
      </w:rPr>
      <w:t xml:space="preserve">October </w:t>
    </w:r>
    <w:r w:rsidR="004259CA">
      <w:rPr>
        <w:rFonts w:eastAsia="Times New Roman" w:cs="Times New Roman"/>
        <w:bCs/>
        <w:szCs w:val="24"/>
      </w:rPr>
      <w:t>22</w:t>
    </w:r>
    <w:r>
      <w:rPr>
        <w:rFonts w:eastAsia="Times New Roman" w:cs="Times New Roman"/>
        <w:bCs/>
        <w:szCs w:val="24"/>
      </w:rPr>
      <w:t>,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F68B9" w14:textId="77777777" w:rsidR="006F7E9A" w:rsidRDefault="006F7E9A" w:rsidP="009C056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79A1"/>
    <w:multiLevelType w:val="hybridMultilevel"/>
    <w:tmpl w:val="B4CA2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062FE3"/>
    <w:multiLevelType w:val="hybridMultilevel"/>
    <w:tmpl w:val="EF08C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B262B"/>
    <w:multiLevelType w:val="hybridMultilevel"/>
    <w:tmpl w:val="1072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12DDC"/>
    <w:multiLevelType w:val="hybridMultilevel"/>
    <w:tmpl w:val="0C5A5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147D4"/>
    <w:multiLevelType w:val="hybridMultilevel"/>
    <w:tmpl w:val="92204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21828"/>
    <w:multiLevelType w:val="hybridMultilevel"/>
    <w:tmpl w:val="C35AC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7A05F2"/>
    <w:multiLevelType w:val="hybridMultilevel"/>
    <w:tmpl w:val="A33CD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200D27"/>
    <w:multiLevelType w:val="hybridMultilevel"/>
    <w:tmpl w:val="8D323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505AC"/>
    <w:multiLevelType w:val="hybridMultilevel"/>
    <w:tmpl w:val="CAACDCE4"/>
    <w:lvl w:ilvl="0" w:tplc="E084A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25993"/>
    <w:multiLevelType w:val="hybridMultilevel"/>
    <w:tmpl w:val="1332C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4EEB"/>
    <w:multiLevelType w:val="hybridMultilevel"/>
    <w:tmpl w:val="9DA8A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26E7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F046B1"/>
    <w:multiLevelType w:val="hybridMultilevel"/>
    <w:tmpl w:val="83140E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27816"/>
    <w:multiLevelType w:val="hybridMultilevel"/>
    <w:tmpl w:val="5F106CE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977F44"/>
    <w:multiLevelType w:val="hybridMultilevel"/>
    <w:tmpl w:val="403E0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80AB4"/>
    <w:multiLevelType w:val="hybridMultilevel"/>
    <w:tmpl w:val="4E161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392685"/>
    <w:multiLevelType w:val="hybridMultilevel"/>
    <w:tmpl w:val="EF88D43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3543BE"/>
    <w:multiLevelType w:val="hybridMultilevel"/>
    <w:tmpl w:val="052C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D520B"/>
    <w:multiLevelType w:val="hybridMultilevel"/>
    <w:tmpl w:val="891C6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4"/>
  </w:num>
  <w:num w:numId="5">
    <w:abstractNumId w:val="17"/>
  </w:num>
  <w:num w:numId="6">
    <w:abstractNumId w:val="7"/>
  </w:num>
  <w:num w:numId="7">
    <w:abstractNumId w:val="16"/>
  </w:num>
  <w:num w:numId="8">
    <w:abstractNumId w:val="15"/>
  </w:num>
  <w:num w:numId="9">
    <w:abstractNumId w:val="2"/>
  </w:num>
  <w:num w:numId="10">
    <w:abstractNumId w:val="9"/>
  </w:num>
  <w:num w:numId="11">
    <w:abstractNumId w:val="12"/>
  </w:num>
  <w:num w:numId="12">
    <w:abstractNumId w:val="3"/>
  </w:num>
  <w:num w:numId="13">
    <w:abstractNumId w:val="5"/>
  </w:num>
  <w:num w:numId="14">
    <w:abstractNumId w:val="14"/>
  </w:num>
  <w:num w:numId="15">
    <w:abstractNumId w:val="1"/>
  </w:num>
  <w:num w:numId="16">
    <w:abstractNumId w:val="11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15"/>
    <w:rsid w:val="00003FAC"/>
    <w:rsid w:val="000143AE"/>
    <w:rsid w:val="00031C71"/>
    <w:rsid w:val="00035E7C"/>
    <w:rsid w:val="000570D3"/>
    <w:rsid w:val="000C0277"/>
    <w:rsid w:val="000E1C19"/>
    <w:rsid w:val="000E4DBC"/>
    <w:rsid w:val="000E5AB9"/>
    <w:rsid w:val="000F746F"/>
    <w:rsid w:val="00110D12"/>
    <w:rsid w:val="00125A68"/>
    <w:rsid w:val="0012747F"/>
    <w:rsid w:val="00131C26"/>
    <w:rsid w:val="001401A7"/>
    <w:rsid w:val="00145C27"/>
    <w:rsid w:val="00150E28"/>
    <w:rsid w:val="00166133"/>
    <w:rsid w:val="001B3B44"/>
    <w:rsid w:val="001B4D32"/>
    <w:rsid w:val="001C73F4"/>
    <w:rsid w:val="001D1C2E"/>
    <w:rsid w:val="001D4683"/>
    <w:rsid w:val="00207F23"/>
    <w:rsid w:val="00217BDB"/>
    <w:rsid w:val="00224D1D"/>
    <w:rsid w:val="00237118"/>
    <w:rsid w:val="0024614D"/>
    <w:rsid w:val="002871FA"/>
    <w:rsid w:val="002A37A1"/>
    <w:rsid w:val="002D402D"/>
    <w:rsid w:val="002D73D9"/>
    <w:rsid w:val="002E4427"/>
    <w:rsid w:val="00303C82"/>
    <w:rsid w:val="0030781E"/>
    <w:rsid w:val="00311D72"/>
    <w:rsid w:val="0031651E"/>
    <w:rsid w:val="00316C24"/>
    <w:rsid w:val="00337491"/>
    <w:rsid w:val="00346F60"/>
    <w:rsid w:val="00350F05"/>
    <w:rsid w:val="00351AC1"/>
    <w:rsid w:val="003610F9"/>
    <w:rsid w:val="00377BEB"/>
    <w:rsid w:val="003B6A8B"/>
    <w:rsid w:val="003E6346"/>
    <w:rsid w:val="00401917"/>
    <w:rsid w:val="004240DC"/>
    <w:rsid w:val="004259CA"/>
    <w:rsid w:val="0042764B"/>
    <w:rsid w:val="00431540"/>
    <w:rsid w:val="0043776A"/>
    <w:rsid w:val="00450CDB"/>
    <w:rsid w:val="0045434D"/>
    <w:rsid w:val="00463543"/>
    <w:rsid w:val="00471B7B"/>
    <w:rsid w:val="00480A16"/>
    <w:rsid w:val="00485145"/>
    <w:rsid w:val="004B1068"/>
    <w:rsid w:val="004C1413"/>
    <w:rsid w:val="004D0010"/>
    <w:rsid w:val="004D05D8"/>
    <w:rsid w:val="004E23BC"/>
    <w:rsid w:val="00516ED2"/>
    <w:rsid w:val="00527910"/>
    <w:rsid w:val="0053699F"/>
    <w:rsid w:val="00540464"/>
    <w:rsid w:val="005E5E94"/>
    <w:rsid w:val="005E7C20"/>
    <w:rsid w:val="005F6887"/>
    <w:rsid w:val="00601BCA"/>
    <w:rsid w:val="006029AE"/>
    <w:rsid w:val="00603513"/>
    <w:rsid w:val="00620BF8"/>
    <w:rsid w:val="006227B6"/>
    <w:rsid w:val="00655CDF"/>
    <w:rsid w:val="0066298E"/>
    <w:rsid w:val="00663709"/>
    <w:rsid w:val="00671711"/>
    <w:rsid w:val="006733BF"/>
    <w:rsid w:val="0068080D"/>
    <w:rsid w:val="00691704"/>
    <w:rsid w:val="006A697A"/>
    <w:rsid w:val="006C16F9"/>
    <w:rsid w:val="006C2179"/>
    <w:rsid w:val="006C27F5"/>
    <w:rsid w:val="006D0196"/>
    <w:rsid w:val="006D4925"/>
    <w:rsid w:val="006D65C0"/>
    <w:rsid w:val="006E0CBF"/>
    <w:rsid w:val="006E1887"/>
    <w:rsid w:val="006E5939"/>
    <w:rsid w:val="006F7E9A"/>
    <w:rsid w:val="00751667"/>
    <w:rsid w:val="00765231"/>
    <w:rsid w:val="00790A65"/>
    <w:rsid w:val="007A4753"/>
    <w:rsid w:val="007B1FCE"/>
    <w:rsid w:val="007B57D3"/>
    <w:rsid w:val="007B6F12"/>
    <w:rsid w:val="007D3683"/>
    <w:rsid w:val="007F075D"/>
    <w:rsid w:val="007F3E39"/>
    <w:rsid w:val="007F65FC"/>
    <w:rsid w:val="00831A2A"/>
    <w:rsid w:val="00833382"/>
    <w:rsid w:val="00835741"/>
    <w:rsid w:val="00843C77"/>
    <w:rsid w:val="00844D18"/>
    <w:rsid w:val="008546C3"/>
    <w:rsid w:val="0086147E"/>
    <w:rsid w:val="00893447"/>
    <w:rsid w:val="008A3074"/>
    <w:rsid w:val="008D54FD"/>
    <w:rsid w:val="008F3605"/>
    <w:rsid w:val="009145B3"/>
    <w:rsid w:val="009221E4"/>
    <w:rsid w:val="00923CA3"/>
    <w:rsid w:val="009427F9"/>
    <w:rsid w:val="00971F5E"/>
    <w:rsid w:val="00991EE8"/>
    <w:rsid w:val="009A3336"/>
    <w:rsid w:val="009B19EB"/>
    <w:rsid w:val="009C056E"/>
    <w:rsid w:val="009F4E1C"/>
    <w:rsid w:val="00A06FF7"/>
    <w:rsid w:val="00A30EFF"/>
    <w:rsid w:val="00A4697E"/>
    <w:rsid w:val="00A66AB6"/>
    <w:rsid w:val="00AA0E47"/>
    <w:rsid w:val="00AA11E2"/>
    <w:rsid w:val="00AA6707"/>
    <w:rsid w:val="00AB084A"/>
    <w:rsid w:val="00AB34BD"/>
    <w:rsid w:val="00AB371C"/>
    <w:rsid w:val="00AB56EE"/>
    <w:rsid w:val="00AC4302"/>
    <w:rsid w:val="00AE5609"/>
    <w:rsid w:val="00AF0866"/>
    <w:rsid w:val="00B05001"/>
    <w:rsid w:val="00B10CAF"/>
    <w:rsid w:val="00B322A1"/>
    <w:rsid w:val="00B3355B"/>
    <w:rsid w:val="00B627AF"/>
    <w:rsid w:val="00B81115"/>
    <w:rsid w:val="00B83CD5"/>
    <w:rsid w:val="00B908BF"/>
    <w:rsid w:val="00BB03A3"/>
    <w:rsid w:val="00BB07D8"/>
    <w:rsid w:val="00BC391B"/>
    <w:rsid w:val="00BD3B6F"/>
    <w:rsid w:val="00BD6CD8"/>
    <w:rsid w:val="00BF3C86"/>
    <w:rsid w:val="00C00D48"/>
    <w:rsid w:val="00C067B5"/>
    <w:rsid w:val="00C07BD1"/>
    <w:rsid w:val="00C201A6"/>
    <w:rsid w:val="00C52EF9"/>
    <w:rsid w:val="00C8184B"/>
    <w:rsid w:val="00C8510A"/>
    <w:rsid w:val="00C9476D"/>
    <w:rsid w:val="00CA7F11"/>
    <w:rsid w:val="00CB3E07"/>
    <w:rsid w:val="00CC1F47"/>
    <w:rsid w:val="00CC66F1"/>
    <w:rsid w:val="00CC6F9D"/>
    <w:rsid w:val="00CD1828"/>
    <w:rsid w:val="00D17432"/>
    <w:rsid w:val="00D3782E"/>
    <w:rsid w:val="00D54469"/>
    <w:rsid w:val="00D62C12"/>
    <w:rsid w:val="00D67145"/>
    <w:rsid w:val="00D775E9"/>
    <w:rsid w:val="00D93133"/>
    <w:rsid w:val="00DB19ED"/>
    <w:rsid w:val="00DC15E9"/>
    <w:rsid w:val="00DC7FA7"/>
    <w:rsid w:val="00DE4277"/>
    <w:rsid w:val="00E13D3C"/>
    <w:rsid w:val="00E171E1"/>
    <w:rsid w:val="00E35C4D"/>
    <w:rsid w:val="00E3637B"/>
    <w:rsid w:val="00E45939"/>
    <w:rsid w:val="00E555C8"/>
    <w:rsid w:val="00EA52BA"/>
    <w:rsid w:val="00EC0587"/>
    <w:rsid w:val="00ED74E3"/>
    <w:rsid w:val="00EF7EF3"/>
    <w:rsid w:val="00F13D3D"/>
    <w:rsid w:val="00F535AA"/>
    <w:rsid w:val="00F636F3"/>
    <w:rsid w:val="00F7308D"/>
    <w:rsid w:val="00F82F3B"/>
    <w:rsid w:val="00F922D4"/>
    <w:rsid w:val="00F95BE1"/>
    <w:rsid w:val="00FA7A3B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AE9130"/>
  <w15:docId w15:val="{49871BBC-E9E4-450A-87CD-5E435AA3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2A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277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">
    <w:name w:val="Times New R"/>
    <w:basedOn w:val="Heading1"/>
    <w:qFormat/>
    <w:rsid w:val="00B322A1"/>
    <w:pPr>
      <w:spacing w:before="0" w:after="240"/>
    </w:pPr>
    <w:rPr>
      <w:rFonts w:ascii="Times New Roman" w:hAnsi="Times New Roman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2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C0277"/>
    <w:rPr>
      <w:rFonts w:ascii="Times New Roman" w:eastAsiaTheme="majorEastAsia" w:hAnsi="Times New Roman" w:cstheme="majorBidi"/>
      <w:sz w:val="24"/>
      <w:szCs w:val="24"/>
    </w:rPr>
  </w:style>
  <w:style w:type="table" w:styleId="TableGrid">
    <w:name w:val="Table Grid"/>
    <w:basedOn w:val="TableNormal"/>
    <w:uiPriority w:val="39"/>
    <w:rsid w:val="006C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E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F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E9A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33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38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382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0C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CB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65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5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urveymonkey.com/r/sfsp-sso-waive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rveymonkey.com/r/sfsp-sso-waiver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sfsp-sso-waive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urveymonkey.com/r/sfsp-sso-waivers" TargetMode="External"/><Relationship Id="rId10" Type="http://schemas.openxmlformats.org/officeDocument/2006/relationships/hyperlink" Target="https://www.surveymonkey.com/r/sfsp-sso-waiver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urveymonkey.com/r/sfsp-sso-waivers" TargetMode="External"/><Relationship Id="rId14" Type="http://schemas.openxmlformats.org/officeDocument/2006/relationships/hyperlink" Target="https://www.surveymonkey.com/r/sfsp-sso-waiv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6058A-FA27-4B8E-AFBC-94E01DEE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C, SNP (Dir) Memo #2020-2021-31, School Year 2020-2021 Waivers - SSO</vt:lpstr>
    </vt:vector>
  </TitlesOfParts>
  <Manager/>
  <Company>VDOE</Company>
  <LinksUpToDate>false</LinksUpToDate>
  <CharactersWithSpaces>5125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C, SNP (Dir) Memo #2020-2021-31, School Year 2020-2021 Waivers - SSO</dc:title>
  <dc:subject/>
  <dc:creator>DOE Nutrition</dc:creator>
  <cp:keywords/>
  <dc:description/>
  <cp:lastModifiedBy>VITA Program</cp:lastModifiedBy>
  <cp:revision>2</cp:revision>
  <dcterms:created xsi:type="dcterms:W3CDTF">2020-10-22T12:32:00Z</dcterms:created>
  <dcterms:modified xsi:type="dcterms:W3CDTF">2020-10-22T12:32:00Z</dcterms:modified>
  <cp:category/>
</cp:coreProperties>
</file>