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7503E8" w:rsidRDefault="007503E8" w:rsidP="000D7C4D">
      <w:pPr>
        <w:pStyle w:val="Heading1"/>
        <w:spacing w:before="0" w:line="240" w:lineRule="auto"/>
        <w:rPr>
          <w:rFonts w:cs="Times New Roman"/>
          <w:szCs w:val="24"/>
        </w:rPr>
      </w:pPr>
      <w:r>
        <w:br/>
      </w:r>
      <w:r w:rsidR="00A972CE" w:rsidRPr="007503E8">
        <w:rPr>
          <w:rFonts w:cs="Times New Roman"/>
          <w:szCs w:val="24"/>
        </w:rPr>
        <w:t>Agenda Item:</w:t>
      </w:r>
      <w:r w:rsidR="00AC0C95" w:rsidRPr="007503E8">
        <w:rPr>
          <w:rFonts w:cs="Times New Roman"/>
          <w:szCs w:val="24"/>
        </w:rPr>
        <w:tab/>
      </w:r>
      <w:r w:rsidR="006C1240">
        <w:rPr>
          <w:rFonts w:cs="Times New Roman"/>
          <w:szCs w:val="24"/>
        </w:rPr>
        <w:tab/>
        <w:t>M</w:t>
      </w:r>
      <w:r w:rsidR="00B954C0">
        <w:rPr>
          <w:rFonts w:cs="Times New Roman"/>
          <w:szCs w:val="24"/>
        </w:rPr>
        <w:br/>
      </w:r>
    </w:p>
    <w:p w:rsidR="00A972CE" w:rsidRPr="00C831DC" w:rsidRDefault="00A972CE" w:rsidP="000D7C4D">
      <w:pPr>
        <w:pStyle w:val="Heading2"/>
        <w:spacing w:before="0" w:after="0" w:line="240" w:lineRule="auto"/>
        <w:ind w:left="2160" w:hanging="2160"/>
      </w:pPr>
      <w:r w:rsidRPr="007503E8">
        <w:t>Date:</w:t>
      </w:r>
      <w:r w:rsidR="007503E8" w:rsidRPr="007503E8">
        <w:tab/>
      </w:r>
      <w:r w:rsidR="0089546D">
        <w:t>January 28, 2021</w:t>
      </w:r>
      <w:r w:rsidR="00B954C0">
        <w:br/>
      </w:r>
    </w:p>
    <w:p w:rsidR="00B33446" w:rsidRDefault="00A972CE" w:rsidP="000D7C4D">
      <w:pPr>
        <w:pStyle w:val="Heading3"/>
        <w:spacing w:before="0" w:line="240" w:lineRule="auto"/>
        <w:ind w:left="2160" w:hanging="2160"/>
      </w:pPr>
      <w:r w:rsidRPr="00C831DC">
        <w:t>Title:</w:t>
      </w:r>
      <w:r w:rsidRPr="007503E8">
        <w:t xml:space="preserve"> </w:t>
      </w:r>
      <w:r w:rsidR="00B33446">
        <w:t xml:space="preserve">  </w:t>
      </w:r>
      <w:r w:rsidR="00D44E7C">
        <w:tab/>
      </w:r>
      <w:r w:rsidR="00B33446" w:rsidRPr="0089546D">
        <w:t xml:space="preserve">First Review of </w:t>
      </w:r>
      <w:r w:rsidR="0089546D" w:rsidRPr="0089546D">
        <w:t>the</w:t>
      </w:r>
      <w:r w:rsidR="0089546D">
        <w:t xml:space="preserve"> </w:t>
      </w:r>
      <w:r w:rsidR="00B33446">
        <w:rPr>
          <w:rFonts w:eastAsia="SymbolMT"/>
        </w:rPr>
        <w:t>Advisory Board on Teacher Education and Licensure</w:t>
      </w:r>
      <w:r w:rsidR="0089546D">
        <w:rPr>
          <w:rFonts w:eastAsia="SymbolMT"/>
        </w:rPr>
        <w:t>’s Recommendation</w:t>
      </w:r>
      <w:r w:rsidR="00B33446" w:rsidRPr="00E120E8">
        <w:rPr>
          <w:rFonts w:eastAsia="SymbolMT"/>
        </w:rPr>
        <w:t xml:space="preserve"> for a Passing Score for the </w:t>
      </w:r>
      <w:r w:rsidR="00B33446" w:rsidRPr="00E120E8">
        <w:t>Praxis® Middle School Science (5442) Test for the Middle Education 6-8 Science Endorsement</w:t>
      </w:r>
    </w:p>
    <w:p w:rsidR="00D44E7C" w:rsidRDefault="00D44E7C" w:rsidP="000D7C4D">
      <w:pPr>
        <w:pStyle w:val="Heading3"/>
        <w:spacing w:before="0" w:line="240" w:lineRule="auto"/>
      </w:pPr>
    </w:p>
    <w:p w:rsidR="00C831DC" w:rsidRDefault="00D44E7C" w:rsidP="000D7C4D">
      <w:pPr>
        <w:pStyle w:val="Heading3"/>
        <w:spacing w:before="0" w:line="240" w:lineRule="auto"/>
        <w:ind w:left="2160" w:hanging="2160"/>
      </w:pPr>
      <w:r>
        <w:t>Presenter:</w:t>
      </w:r>
      <w:r>
        <w:tab/>
      </w:r>
      <w:r w:rsidR="0089546D">
        <w:t xml:space="preserve">Patty S. Pitts, Assistant Superintendent </w:t>
      </w:r>
      <w:r>
        <w:t>for Teacher Education and L</w:t>
      </w:r>
      <w:r w:rsidR="0089546D">
        <w:t>icensure</w:t>
      </w:r>
    </w:p>
    <w:p w:rsidR="00D44E7C" w:rsidRDefault="00D44E7C" w:rsidP="000D7C4D">
      <w:pPr>
        <w:pStyle w:val="Heading3"/>
        <w:spacing w:before="0" w:line="240" w:lineRule="auto"/>
        <w:ind w:left="2160"/>
      </w:pPr>
    </w:p>
    <w:p w:rsidR="00A972CE" w:rsidRPr="007503E8" w:rsidRDefault="00A972CE" w:rsidP="000D7C4D">
      <w:pPr>
        <w:pStyle w:val="Heading3"/>
        <w:spacing w:before="0" w:line="240" w:lineRule="auto"/>
      </w:pPr>
      <w:r w:rsidRPr="007503E8">
        <w:t>Email:</w:t>
      </w:r>
      <w:r w:rsidR="00AC0C95" w:rsidRPr="007503E8">
        <w:tab/>
      </w:r>
      <w:r w:rsidR="00F77BDE" w:rsidRPr="007503E8">
        <w:tab/>
      </w:r>
      <w:r w:rsidR="00B954C0">
        <w:tab/>
      </w:r>
      <w:hyperlink r:id="rId9" w:history="1">
        <w:r w:rsidR="00D44E7C" w:rsidRPr="00B51EE1">
          <w:rPr>
            <w:rStyle w:val="Hyperlink"/>
          </w:rPr>
          <w:t>Patty.Pitts@doe.virginia.gov</w:t>
        </w:r>
      </w:hyperlink>
      <w:r w:rsidR="00D44E7C">
        <w:t xml:space="preserve">  </w:t>
      </w:r>
      <w:r w:rsidR="00AC12B7">
        <w:tab/>
      </w:r>
      <w:r w:rsidR="00AC12B7">
        <w:tab/>
      </w:r>
      <w:r w:rsidR="00892D0F" w:rsidRPr="007503E8">
        <w:t xml:space="preserve">Phone: </w:t>
      </w:r>
      <w:r w:rsidR="0089546D">
        <w:t xml:space="preserve"> (804) 371-2522</w:t>
      </w:r>
    </w:p>
    <w:p w:rsidR="00A972CE" w:rsidRPr="007503E8" w:rsidRDefault="00A972CE" w:rsidP="0027447D">
      <w:pPr>
        <w:spacing w:after="0"/>
      </w:pPr>
    </w:p>
    <w:p w:rsidR="00A972CE" w:rsidRPr="007503E8" w:rsidRDefault="00A972CE" w:rsidP="0027447D">
      <w:pPr>
        <w:pStyle w:val="Heading2"/>
        <w:spacing w:before="0" w:after="0"/>
      </w:pPr>
      <w:r w:rsidRPr="007503E8">
        <w:t xml:space="preserve">Purpose of Presentation: </w:t>
      </w:r>
    </w:p>
    <w:p w:rsidR="00A972CE" w:rsidRPr="007503E8" w:rsidRDefault="000D7C4D" w:rsidP="0027447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89546D">
            <w:t>Action required by state or federal law or regulation.</w:t>
          </w:r>
        </w:sdtContent>
      </w:sdt>
    </w:p>
    <w:p w:rsidR="00B954C0" w:rsidRDefault="00B954C0" w:rsidP="0027447D">
      <w:pPr>
        <w:spacing w:after="0"/>
      </w:pPr>
    </w:p>
    <w:p w:rsidR="00D605CB" w:rsidRDefault="00A972CE" w:rsidP="0027447D">
      <w:pPr>
        <w:spacing w:after="0"/>
        <w:rPr>
          <w:rFonts w:cs="Times New Roman"/>
          <w:szCs w:val="24"/>
        </w:rPr>
      </w:pPr>
      <w:r w:rsidRPr="00B954C0">
        <w:rPr>
          <w:rStyle w:val="Heading2Char"/>
        </w:rPr>
        <w:t>Executive Summary:</w:t>
      </w:r>
      <w:r w:rsidRPr="0094605A">
        <w:t xml:space="preserve"> </w:t>
      </w:r>
      <w:r w:rsidR="00BA7FAF">
        <w:t xml:space="preserve"> </w:t>
      </w:r>
      <w:r w:rsidR="00D9096B" w:rsidRPr="0094605A">
        <w:br/>
      </w:r>
      <w:r w:rsidR="006E03E9" w:rsidRPr="00EE7168">
        <w:rPr>
          <w:rFonts w:cs="Times New Roman"/>
          <w:szCs w:val="24"/>
        </w:rPr>
        <w:t>The prop</w:t>
      </w:r>
      <w:r w:rsidR="006E03E9">
        <w:rPr>
          <w:rFonts w:cs="Times New Roman"/>
          <w:szCs w:val="24"/>
        </w:rPr>
        <w:t xml:space="preserve">osed recommendation from the Advisory Board on Teacher Education and Licensure is to set a passing score for the </w:t>
      </w:r>
      <w:r w:rsidR="006E03E9" w:rsidRPr="00E120E8">
        <w:rPr>
          <w:rFonts w:cs="Times New Roman"/>
          <w:b/>
          <w:szCs w:val="24"/>
        </w:rPr>
        <w:t xml:space="preserve">Praxis® Middle School Science (5442) Test </w:t>
      </w:r>
      <w:r w:rsidR="006E03E9" w:rsidRPr="006E03E9">
        <w:rPr>
          <w:rFonts w:cs="Times New Roman"/>
          <w:szCs w:val="24"/>
        </w:rPr>
        <w:t>for the Middle Education 6-8 Science Endorsement</w:t>
      </w:r>
      <w:r w:rsidR="006E03E9">
        <w:rPr>
          <w:rFonts w:cs="Times New Roman"/>
          <w:szCs w:val="24"/>
        </w:rPr>
        <w:t xml:space="preserve">.  This test will be required for individuals seeking initial licensure unless exempted by holding a full, clear out-of-state license with no deficiencies and can be taken and passed to add an endorsement in Middle Education 6-8 Science by individuals holding a valid renewable teaching license.  </w:t>
      </w:r>
    </w:p>
    <w:p w:rsidR="001752C7" w:rsidRDefault="001752C7" w:rsidP="0027447D">
      <w:pPr>
        <w:spacing w:after="0"/>
        <w:rPr>
          <w:rFonts w:cs="Times New Roman"/>
          <w:szCs w:val="24"/>
        </w:rPr>
      </w:pPr>
    </w:p>
    <w:p w:rsidR="001752C7" w:rsidRDefault="001752C7" w:rsidP="0027447D">
      <w:pPr>
        <w:spacing w:after="0"/>
        <w:rPr>
          <w:rFonts w:cs="Times New Roman"/>
          <w:szCs w:val="24"/>
        </w:rPr>
      </w:pPr>
      <w:r>
        <w:rPr>
          <w:rFonts w:cs="Times New Roman"/>
          <w:szCs w:val="24"/>
        </w:rPr>
        <w:t xml:space="preserve">Attached are the </w:t>
      </w:r>
      <w:r>
        <w:t>Multistate Standard-Setting Technical Report - Praxis® Middle School Science (5442) Test and the Praxis® Study Companion.</w:t>
      </w:r>
    </w:p>
    <w:p w:rsidR="00D605CB" w:rsidRDefault="00D605CB" w:rsidP="0027447D">
      <w:pPr>
        <w:spacing w:after="0"/>
        <w:rPr>
          <w:rFonts w:cs="Times New Roman"/>
          <w:szCs w:val="24"/>
        </w:rPr>
      </w:pPr>
    </w:p>
    <w:p w:rsidR="006E03E9" w:rsidRDefault="006E03E9" w:rsidP="0027447D">
      <w:pPr>
        <w:spacing w:after="0"/>
        <w:rPr>
          <w:rFonts w:cs="Times New Roman"/>
          <w:szCs w:val="24"/>
        </w:rPr>
      </w:pPr>
      <w:r>
        <w:rPr>
          <w:rFonts w:cs="Times New Roman"/>
          <w:szCs w:val="24"/>
        </w:rPr>
        <w:t xml:space="preserve">This request supports the Board of Education’s Comprehensive Plan to develop well-prepared and skilled teachers and </w:t>
      </w:r>
      <w:r w:rsidR="0027447D">
        <w:rPr>
          <w:rFonts w:cs="Times New Roman"/>
          <w:szCs w:val="24"/>
        </w:rPr>
        <w:t xml:space="preserve">to </w:t>
      </w:r>
      <w:r>
        <w:rPr>
          <w:rFonts w:cs="Times New Roman"/>
          <w:szCs w:val="24"/>
        </w:rPr>
        <w:t>increase the number of candidates entering the teaching profession</w:t>
      </w:r>
      <w:r w:rsidR="0027447D">
        <w:rPr>
          <w:rFonts w:cs="Times New Roman"/>
          <w:szCs w:val="24"/>
        </w:rPr>
        <w:t xml:space="preserve"> through the testing option for the add-on endorsement</w:t>
      </w:r>
      <w:r>
        <w:rPr>
          <w:rFonts w:cs="Times New Roman"/>
          <w:szCs w:val="24"/>
        </w:rPr>
        <w:t>.</w:t>
      </w:r>
      <w:r w:rsidR="000D7C4D">
        <w:rPr>
          <w:rFonts w:cs="Times New Roman"/>
          <w:szCs w:val="24"/>
        </w:rPr>
        <w:br/>
      </w:r>
    </w:p>
    <w:p w:rsidR="00A972CE" w:rsidRPr="007503E8" w:rsidRDefault="00A972CE" w:rsidP="0027447D">
      <w:pPr>
        <w:pStyle w:val="Heading2"/>
        <w:spacing w:before="0" w:after="0"/>
      </w:pPr>
      <w:r w:rsidRPr="007503E8">
        <w:t xml:space="preserve">Action Requested:  </w:t>
      </w:r>
    </w:p>
    <w:p w:rsidR="00A972CE" w:rsidRPr="007503E8" w:rsidRDefault="000D7C4D" w:rsidP="0027447D">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89546D">
            <w:t>Action will be requested at a future meeting. Specify anticipated date below:</w:t>
          </w:r>
        </w:sdtContent>
      </w:sdt>
    </w:p>
    <w:p w:rsidR="0089546D" w:rsidRPr="00D44E7C" w:rsidRDefault="0089546D" w:rsidP="0027447D">
      <w:pPr>
        <w:pStyle w:val="Heading2"/>
        <w:spacing w:before="0" w:after="0"/>
        <w:rPr>
          <w:b w:val="0"/>
        </w:rPr>
      </w:pPr>
      <w:r w:rsidRPr="00D44E7C">
        <w:rPr>
          <w:b w:val="0"/>
        </w:rPr>
        <w:lastRenderedPageBreak/>
        <w:t>March 18, 2021</w:t>
      </w:r>
    </w:p>
    <w:p w:rsidR="006E03E9" w:rsidRDefault="003D27FD" w:rsidP="0027447D">
      <w:pPr>
        <w:pStyle w:val="Heading2"/>
        <w:spacing w:before="0" w:after="0"/>
      </w:pPr>
      <w:r>
        <w:br/>
      </w:r>
      <w:r w:rsidR="00A972CE" w:rsidRPr="0094605A">
        <w:t>Superintendent’s Recommendation:</w:t>
      </w:r>
      <w:r w:rsidR="00A972CE" w:rsidRPr="007503E8">
        <w:t xml:space="preserve"> </w:t>
      </w:r>
    </w:p>
    <w:p w:rsidR="00892D0F" w:rsidRPr="007503E8" w:rsidRDefault="006E03E9" w:rsidP="0027447D">
      <w:pPr>
        <w:pStyle w:val="Heading2"/>
        <w:spacing w:before="0" w:after="0"/>
      </w:pPr>
      <w:r w:rsidRPr="006E03E9">
        <w:rPr>
          <w:b w:val="0"/>
        </w:rPr>
        <w:t xml:space="preserve">The Superintendent of Public Instruction recommends that the Board of Education receive for first review the recommendation of the Advisory Board on Teacher Education and Licensure </w:t>
      </w:r>
      <w:r>
        <w:rPr>
          <w:b w:val="0"/>
        </w:rPr>
        <w:t xml:space="preserve">to establish a cut score for the </w:t>
      </w:r>
      <w:r w:rsidRPr="006E03E9">
        <w:rPr>
          <w:b w:val="0"/>
        </w:rPr>
        <w:t>Praxis® Middle School Science (5442) test.</w:t>
      </w:r>
      <w:r w:rsidR="007503E8" w:rsidRPr="006E03E9">
        <w:rPr>
          <w:b w:val="0"/>
        </w:rPr>
        <w:br/>
      </w:r>
    </w:p>
    <w:p w:rsidR="00123E2E" w:rsidRPr="007503E8" w:rsidRDefault="00123E2E" w:rsidP="0027447D">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503E8" w:rsidRDefault="006E03E9" w:rsidP="0027447D">
          <w:pPr>
            <w:spacing w:after="0"/>
          </w:pPr>
          <w:r>
            <w:t>No previous review or action.</w:t>
          </w:r>
        </w:p>
      </w:sdtContent>
    </w:sdt>
    <w:p w:rsidR="0027447D" w:rsidRDefault="0027447D" w:rsidP="0027447D">
      <w:pPr>
        <w:pStyle w:val="Heading1"/>
        <w:spacing w:before="0"/>
        <w:rPr>
          <w:rStyle w:val="Heading2Char"/>
          <w:b/>
        </w:rPr>
      </w:pPr>
    </w:p>
    <w:p w:rsidR="0089546D" w:rsidRDefault="000E009D" w:rsidP="0027447D">
      <w:pPr>
        <w:pStyle w:val="Heading1"/>
        <w:spacing w:before="0"/>
        <w:rPr>
          <w:b w:val="0"/>
        </w:rPr>
      </w:pPr>
      <w:r w:rsidRPr="0089546D">
        <w:rPr>
          <w:rStyle w:val="Heading2Char"/>
          <w:b/>
        </w:rPr>
        <w:t>Background Information and Statutory Authority:</w:t>
      </w:r>
    </w:p>
    <w:p w:rsidR="0089546D" w:rsidRPr="001C6A89" w:rsidRDefault="0089546D" w:rsidP="0027447D">
      <w:pPr>
        <w:spacing w:after="0"/>
        <w:rPr>
          <w:rFonts w:cs="Times New Roman"/>
          <w:szCs w:val="24"/>
        </w:rPr>
      </w:pPr>
      <w:r w:rsidRPr="001C6A89">
        <w:rPr>
          <w:rFonts w:cs="Times New Roman"/>
          <w:szCs w:val="24"/>
        </w:rPr>
        <w:t xml:space="preserve">Currently, the Board of Education requires </w:t>
      </w:r>
      <w:r>
        <w:rPr>
          <w:rFonts w:cs="Times New Roman"/>
          <w:szCs w:val="24"/>
        </w:rPr>
        <w:t>the following assessments for</w:t>
      </w:r>
      <w:r w:rsidRPr="001C6A89">
        <w:rPr>
          <w:rFonts w:cs="Times New Roman"/>
          <w:szCs w:val="24"/>
        </w:rPr>
        <w:t xml:space="preserve"> initial licensure: </w:t>
      </w:r>
    </w:p>
    <w:p w:rsidR="0089546D" w:rsidRPr="001C6A89" w:rsidRDefault="0089546D" w:rsidP="0027447D">
      <w:pPr>
        <w:spacing w:after="0"/>
        <w:ind w:left="720"/>
        <w:rPr>
          <w:rFonts w:cs="Times New Roman"/>
          <w:szCs w:val="24"/>
        </w:rPr>
      </w:pPr>
      <w:r w:rsidRPr="001C6A89">
        <w:rPr>
          <w:rFonts w:cs="Times New Roman"/>
          <w:szCs w:val="24"/>
        </w:rPr>
        <w:t xml:space="preserve">• Virginia Communication and Literacy Assessment (VCLA); </w:t>
      </w:r>
    </w:p>
    <w:p w:rsidR="0089546D" w:rsidRPr="001C6A89" w:rsidRDefault="0089546D" w:rsidP="0027447D">
      <w:pPr>
        <w:spacing w:after="0"/>
        <w:ind w:left="720"/>
        <w:rPr>
          <w:rFonts w:cs="Times New Roman"/>
          <w:szCs w:val="24"/>
        </w:rPr>
      </w:pPr>
      <w:r w:rsidRPr="001C6A89">
        <w:rPr>
          <w:rFonts w:cs="Times New Roman"/>
          <w:szCs w:val="24"/>
        </w:rPr>
        <w:t xml:space="preserve">• Praxis Subject Assessments; and </w:t>
      </w:r>
    </w:p>
    <w:p w:rsidR="0089546D" w:rsidRPr="001C6A89" w:rsidRDefault="0089546D" w:rsidP="0027447D">
      <w:pPr>
        <w:spacing w:after="0"/>
        <w:ind w:left="720"/>
        <w:rPr>
          <w:rFonts w:cs="Times New Roman"/>
          <w:szCs w:val="24"/>
        </w:rPr>
      </w:pPr>
      <w:r w:rsidRPr="001C6A89">
        <w:rPr>
          <w:rFonts w:cs="Times New Roman"/>
          <w:szCs w:val="24"/>
        </w:rPr>
        <w:t>• Reading for Virginia Educators (RVE) for specified endorsements.</w:t>
      </w:r>
    </w:p>
    <w:p w:rsidR="0089546D" w:rsidRPr="001C6A89" w:rsidRDefault="0089546D" w:rsidP="0027447D">
      <w:pPr>
        <w:spacing w:after="0"/>
        <w:rPr>
          <w:rFonts w:cs="Times New Roman"/>
          <w:szCs w:val="24"/>
        </w:rPr>
      </w:pPr>
    </w:p>
    <w:p w:rsidR="0089546D" w:rsidRDefault="0089546D" w:rsidP="0027447D">
      <w:pPr>
        <w:spacing w:after="0"/>
        <w:rPr>
          <w:rFonts w:cs="Times New Roman"/>
          <w:szCs w:val="24"/>
        </w:rPr>
      </w:pPr>
      <w:r w:rsidRPr="001C6A89">
        <w:rPr>
          <w:rFonts w:cs="Times New Roman"/>
          <w:szCs w:val="24"/>
        </w:rPr>
        <w:t>The Board prescribes the Praxis Subject Assessments as a professional teacher’s assessment requirement for initial licensure in Virginia.  The current Board of Education’s prescribed assessment for middle education science is the Praxis® Middle School Science (5440).</w:t>
      </w:r>
    </w:p>
    <w:p w:rsidR="0089546D" w:rsidRDefault="0089546D" w:rsidP="0027447D">
      <w:pPr>
        <w:spacing w:after="0"/>
        <w:rPr>
          <w:rFonts w:cs="Times New Roman"/>
          <w:szCs w:val="24"/>
        </w:rPr>
      </w:pPr>
    </w:p>
    <w:p w:rsidR="0089546D" w:rsidRPr="001C6A89" w:rsidRDefault="0089546D" w:rsidP="0027447D">
      <w:pPr>
        <w:spacing w:after="0"/>
        <w:rPr>
          <w:rFonts w:cs="Times New Roman"/>
          <w:szCs w:val="24"/>
        </w:rPr>
      </w:pPr>
      <w:r>
        <w:rPr>
          <w:rFonts w:cs="Times New Roman"/>
          <w:szCs w:val="24"/>
        </w:rPr>
        <w:t xml:space="preserve">The </w:t>
      </w:r>
      <w:r w:rsidRPr="001C6A89">
        <w:rPr>
          <w:rFonts w:cs="Times New Roman"/>
          <w:szCs w:val="24"/>
        </w:rPr>
        <w:t>Praxis® Mid</w:t>
      </w:r>
      <w:r>
        <w:rPr>
          <w:rFonts w:cs="Times New Roman"/>
          <w:szCs w:val="24"/>
        </w:rPr>
        <w:t>dle School Science (5442</w:t>
      </w:r>
      <w:r w:rsidRPr="001C6A89">
        <w:rPr>
          <w:rFonts w:cs="Times New Roman"/>
          <w:szCs w:val="24"/>
        </w:rPr>
        <w:t>)</w:t>
      </w:r>
      <w:r>
        <w:rPr>
          <w:rFonts w:cs="Times New Roman"/>
          <w:szCs w:val="24"/>
        </w:rPr>
        <w:t xml:space="preserve"> test will replace the </w:t>
      </w:r>
      <w:r w:rsidRPr="001C6A89">
        <w:rPr>
          <w:rFonts w:cs="Times New Roman"/>
          <w:szCs w:val="24"/>
        </w:rPr>
        <w:t>Praxis® Mid</w:t>
      </w:r>
      <w:r>
        <w:rPr>
          <w:rFonts w:cs="Times New Roman"/>
          <w:szCs w:val="24"/>
        </w:rPr>
        <w:t>dle School Science (5440</w:t>
      </w:r>
      <w:r w:rsidRPr="001C6A89">
        <w:rPr>
          <w:rFonts w:cs="Times New Roman"/>
          <w:szCs w:val="24"/>
        </w:rPr>
        <w:t>) test</w:t>
      </w:r>
      <w:r>
        <w:rPr>
          <w:rFonts w:cs="Times New Roman"/>
          <w:szCs w:val="24"/>
        </w:rPr>
        <w:t>.  This new test was designed and developed through work with practicing middle school science teachers, teacher educators, and higher education content specialists to reflect the science knowledge teachers need to teach the middle school science curriculum and to reflect state and national standards, including the National Science Teaching Association Preparation Standards for middle school science.  Content and practices measured reflect the Disciplinary Core Ideas and Science and Engineering Practices established by the National Research Council in A Framework for K-12 Science Education and included in the Next Generation Science Standards.</w:t>
      </w:r>
    </w:p>
    <w:p w:rsidR="0089546D" w:rsidRPr="001C6A89" w:rsidRDefault="0089546D" w:rsidP="0027447D">
      <w:pPr>
        <w:spacing w:after="0"/>
        <w:rPr>
          <w:rFonts w:cs="Times New Roman"/>
          <w:szCs w:val="24"/>
        </w:rPr>
      </w:pPr>
    </w:p>
    <w:p w:rsidR="0089546D" w:rsidRPr="001C6A89" w:rsidRDefault="0089546D" w:rsidP="0027447D">
      <w:pPr>
        <w:spacing w:after="0"/>
        <w:rPr>
          <w:rFonts w:cs="Times New Roman"/>
          <w:szCs w:val="24"/>
        </w:rPr>
      </w:pPr>
      <w:r w:rsidRPr="001C6A89">
        <w:rPr>
          <w:rFonts w:cs="Times New Roman"/>
          <w:szCs w:val="24"/>
        </w:rPr>
        <w:t>In January 2020, a multistate standard-setting study was designed and conducted by the Ed</w:t>
      </w:r>
      <w:r>
        <w:rPr>
          <w:rFonts w:cs="Times New Roman"/>
          <w:szCs w:val="24"/>
        </w:rPr>
        <w:t>ucational Testing Service (ETS)</w:t>
      </w:r>
      <w:r w:rsidRPr="001C6A89">
        <w:rPr>
          <w:rFonts w:cs="Times New Roman"/>
          <w:szCs w:val="24"/>
        </w:rPr>
        <w:t xml:space="preserve"> to support the decision-making process of education agencies establishing a passing score (cut score) for the Praxis® Middle School Science (5442) test.</w:t>
      </w:r>
    </w:p>
    <w:p w:rsidR="0089546D" w:rsidRDefault="0089546D" w:rsidP="0027447D">
      <w:pPr>
        <w:spacing w:after="0"/>
        <w:rPr>
          <w:rFonts w:cs="Times New Roman"/>
          <w:szCs w:val="24"/>
        </w:rPr>
      </w:pPr>
      <w:r w:rsidRPr="001C6A89">
        <w:rPr>
          <w:rFonts w:cs="Times New Roman"/>
          <w:szCs w:val="24"/>
        </w:rPr>
        <w:t>Panelists from 17 states and Washington, D.C., participated on the panel. The education agencies recommended panelists with (a) experience as either middle school science teachers or college faculty who prepare middle school science teachers and (b) familiarity with the knowledge and skills required of beginning middle school science teachers.  ETS selected the participating panelist from the agencies’ nominations.</w:t>
      </w:r>
    </w:p>
    <w:p w:rsidR="0089546D" w:rsidRDefault="0089546D" w:rsidP="0027447D">
      <w:pPr>
        <w:spacing w:after="0"/>
        <w:rPr>
          <w:rFonts w:cs="Times New Roman"/>
          <w:szCs w:val="24"/>
        </w:rPr>
      </w:pPr>
    </w:p>
    <w:p w:rsidR="0089546D" w:rsidRPr="001C6A89" w:rsidRDefault="0089546D" w:rsidP="0027447D">
      <w:pPr>
        <w:spacing w:after="0"/>
        <w:rPr>
          <w:rFonts w:cs="Times New Roman"/>
          <w:szCs w:val="24"/>
        </w:rPr>
      </w:pPr>
      <w:r w:rsidRPr="001C6A89">
        <w:rPr>
          <w:rFonts w:cs="Times New Roman"/>
          <w:szCs w:val="24"/>
        </w:rPr>
        <w:lastRenderedPageBreak/>
        <w:t xml:space="preserve">A detailed summary of the study, Multistate Standard-Setting Technical </w:t>
      </w:r>
      <w:r w:rsidR="001752C7">
        <w:rPr>
          <w:rFonts w:cs="Times New Roman"/>
          <w:szCs w:val="24"/>
        </w:rPr>
        <w:t>Report – Praxis</w:t>
      </w:r>
      <w:r w:rsidRPr="001C6A89">
        <w:rPr>
          <w:rFonts w:cs="Times New Roman"/>
          <w:szCs w:val="24"/>
        </w:rPr>
        <w:t xml:space="preserve">® </w:t>
      </w:r>
      <w:r w:rsidR="006E03E9" w:rsidRPr="001C6A89">
        <w:rPr>
          <w:rFonts w:cs="Times New Roman"/>
          <w:szCs w:val="24"/>
        </w:rPr>
        <w:t xml:space="preserve">Middle School Science </w:t>
      </w:r>
      <w:r w:rsidRPr="001C6A89">
        <w:rPr>
          <w:rFonts w:cs="Times New Roman"/>
          <w:szCs w:val="24"/>
        </w:rPr>
        <w:t xml:space="preserve">(5442) is attached. </w:t>
      </w:r>
      <w:r w:rsidR="001752C7">
        <w:rPr>
          <w:rFonts w:cs="Times New Roman"/>
          <w:szCs w:val="24"/>
        </w:rPr>
        <w:t>In addition, the</w:t>
      </w:r>
      <w:r w:rsidR="001752C7" w:rsidRPr="001752C7">
        <w:rPr>
          <w:rFonts w:cs="Times New Roman"/>
          <w:szCs w:val="24"/>
        </w:rPr>
        <w:t xml:space="preserve"> </w:t>
      </w:r>
      <w:r w:rsidR="001752C7">
        <w:rPr>
          <w:rFonts w:cs="Times New Roman"/>
          <w:szCs w:val="24"/>
        </w:rPr>
        <w:t>Praxis</w:t>
      </w:r>
      <w:r w:rsidR="001752C7" w:rsidRPr="001C6A89">
        <w:rPr>
          <w:rFonts w:cs="Times New Roman"/>
          <w:szCs w:val="24"/>
        </w:rPr>
        <w:t xml:space="preserve">® </w:t>
      </w:r>
      <w:r w:rsidR="00573B90">
        <w:rPr>
          <w:rFonts w:cs="Times New Roman"/>
          <w:szCs w:val="24"/>
        </w:rPr>
        <w:t xml:space="preserve">Study Companion is attached.  </w:t>
      </w:r>
      <w:r w:rsidRPr="001C6A89">
        <w:rPr>
          <w:rFonts w:cs="Times New Roman"/>
          <w:szCs w:val="24"/>
        </w:rPr>
        <w:t>The technical report contains three sections. The first section describes the content and format of the test. The second section describes the standard-setting processes and methods. The third section presents the results of the standard-setting study.</w:t>
      </w:r>
    </w:p>
    <w:p w:rsidR="0089546D" w:rsidRPr="001C6A89" w:rsidRDefault="0089546D" w:rsidP="0027447D">
      <w:pPr>
        <w:spacing w:after="0"/>
        <w:rPr>
          <w:rFonts w:cs="Times New Roman"/>
          <w:szCs w:val="24"/>
        </w:rPr>
      </w:pPr>
    </w:p>
    <w:p w:rsidR="0089546D" w:rsidRPr="001C6A89" w:rsidRDefault="0089546D" w:rsidP="0027447D">
      <w:pPr>
        <w:spacing w:after="0"/>
        <w:rPr>
          <w:rFonts w:cs="Times New Roman"/>
          <w:szCs w:val="24"/>
        </w:rPr>
      </w:pPr>
      <w:r w:rsidRPr="001C6A89">
        <w:rPr>
          <w:rFonts w:cs="Times New Roman"/>
          <w:szCs w:val="24"/>
        </w:rPr>
        <w:t xml:space="preserve">The </w:t>
      </w:r>
      <w:hyperlink r:id="rId10" w:history="1">
        <w:r w:rsidRPr="001C6A89">
          <w:rPr>
            <w:rStyle w:val="Hyperlink"/>
            <w:rFonts w:cs="Times New Roman"/>
            <w:szCs w:val="24"/>
          </w:rPr>
          <w:t>Praxis® Middle School Science Study Companion</w:t>
        </w:r>
      </w:hyperlink>
      <w:r w:rsidRPr="001C6A89">
        <w:rPr>
          <w:rFonts w:cs="Times New Roman"/>
          <w:szCs w:val="24"/>
        </w:rPr>
        <w:t xml:space="preserve"> document describes the purpose and structure of the test. In brief, the test measures the knowledge and competencies necessary for a beginning teacher of middle school science. The two and a half-hour assessment con</w:t>
      </w:r>
      <w:r>
        <w:rPr>
          <w:rFonts w:cs="Times New Roman"/>
          <w:szCs w:val="24"/>
        </w:rPr>
        <w:t>tains 125 multiple-choice items</w:t>
      </w:r>
      <w:r w:rsidRPr="001C6A89">
        <w:rPr>
          <w:rFonts w:cs="Times New Roman"/>
          <w:szCs w:val="24"/>
        </w:rPr>
        <w:t xml:space="preserve"> covering four content areas: Nature and Impact of Science and Engineering (approximately 17 items), Physical Science (approximately 38 items), Life Science (approximately 38 items), and Earth and Space Science (approximately 32 items). The reporting scale for the Praxis Middle School Science test ranges from 100 to 200 scale-score points.</w:t>
      </w:r>
    </w:p>
    <w:p w:rsidR="0089546D" w:rsidRPr="001C6A89" w:rsidRDefault="0089546D" w:rsidP="0027447D">
      <w:pPr>
        <w:spacing w:after="0"/>
        <w:rPr>
          <w:rFonts w:cs="Times New Roman"/>
          <w:szCs w:val="24"/>
        </w:rPr>
      </w:pPr>
    </w:p>
    <w:p w:rsidR="0089546D" w:rsidRPr="001C6A89" w:rsidRDefault="0089546D" w:rsidP="0027447D">
      <w:pPr>
        <w:pStyle w:val="Heading3"/>
        <w:spacing w:before="0"/>
      </w:pPr>
      <w:r w:rsidRPr="001C6A89">
        <w:t xml:space="preserve">Multistate </w:t>
      </w:r>
      <w:r w:rsidRPr="00E120E8">
        <w:t>Standard</w:t>
      </w:r>
      <w:r w:rsidRPr="001C6A89">
        <w:t>-Setting Study</w:t>
      </w:r>
    </w:p>
    <w:p w:rsidR="0089546D" w:rsidRDefault="0089546D" w:rsidP="0027447D">
      <w:pPr>
        <w:spacing w:after="0"/>
        <w:rPr>
          <w:rFonts w:cs="Times New Roman"/>
          <w:szCs w:val="24"/>
        </w:rPr>
      </w:pPr>
      <w:r w:rsidRPr="001C6A89">
        <w:rPr>
          <w:rFonts w:cs="Times New Roman"/>
          <w:szCs w:val="24"/>
        </w:rPr>
        <w:t>The Multistate standard-setting study for the Praxis® Middle School Science (5442)</w:t>
      </w:r>
      <w:r>
        <w:rPr>
          <w:rFonts w:cs="Times New Roman"/>
          <w:szCs w:val="24"/>
        </w:rPr>
        <w:t xml:space="preserve"> test is </w:t>
      </w:r>
      <w:r w:rsidRPr="001C6A89">
        <w:rPr>
          <w:rFonts w:cs="Times New Roman"/>
          <w:szCs w:val="24"/>
        </w:rPr>
        <w:t>detailed in the attached report.</w:t>
      </w:r>
    </w:p>
    <w:p w:rsidR="0089546D" w:rsidRDefault="0089546D" w:rsidP="0027447D">
      <w:pPr>
        <w:spacing w:after="0"/>
        <w:rPr>
          <w:rFonts w:cs="Times New Roman"/>
          <w:szCs w:val="24"/>
        </w:rPr>
      </w:pPr>
    </w:p>
    <w:p w:rsidR="0089546D" w:rsidRPr="001C6A89" w:rsidRDefault="0089546D" w:rsidP="0027447D">
      <w:pPr>
        <w:spacing w:after="0"/>
        <w:rPr>
          <w:rFonts w:cs="Times New Roman"/>
          <w:szCs w:val="24"/>
        </w:rPr>
      </w:pPr>
      <w:r w:rsidRPr="001C6A89">
        <w:rPr>
          <w:rFonts w:cs="Times New Roman"/>
          <w:szCs w:val="24"/>
        </w:rPr>
        <w:t>The following table presents the estimated conditional standard error of measurement (CSEM) around the recommended passing score. A standard error represents the uncertainty associated with a test score. The scale scores associated with one and two CSEM above and below the recommended passing score are provided. The conditional standard error of measurement provided is an estimate.</w:t>
      </w:r>
    </w:p>
    <w:p w:rsidR="0089546D" w:rsidRPr="001C6A89" w:rsidRDefault="0089546D" w:rsidP="0027447D">
      <w:pPr>
        <w:spacing w:after="0"/>
        <w:rPr>
          <w:rFonts w:cs="Times New Roman"/>
          <w:szCs w:val="24"/>
        </w:rPr>
      </w:pPr>
    </w:p>
    <w:p w:rsidR="0089546D" w:rsidRPr="001C6A89" w:rsidRDefault="0089546D" w:rsidP="0027447D">
      <w:pPr>
        <w:spacing w:after="0"/>
        <w:jc w:val="center"/>
        <w:rPr>
          <w:rFonts w:cs="Times New Roman"/>
          <w:b/>
          <w:szCs w:val="24"/>
        </w:rPr>
      </w:pPr>
      <w:r w:rsidRPr="001C6A89">
        <w:rPr>
          <w:rFonts w:cs="Times New Roman"/>
          <w:b/>
          <w:szCs w:val="24"/>
        </w:rPr>
        <w:t>Conditional Standard Error of Measurement Summaries</w:t>
      </w:r>
    </w:p>
    <w:p w:rsidR="0089546D" w:rsidRPr="001C6A89" w:rsidRDefault="0089546D" w:rsidP="0027447D">
      <w:pPr>
        <w:spacing w:after="0"/>
        <w:jc w:val="center"/>
        <w:rPr>
          <w:rFonts w:cs="Times New Roman"/>
          <w:b/>
          <w:szCs w:val="24"/>
        </w:rPr>
      </w:pPr>
      <w:r w:rsidRPr="001C6A89">
        <w:rPr>
          <w:rFonts w:cs="Times New Roman"/>
          <w:b/>
          <w:szCs w:val="24"/>
        </w:rPr>
        <w:t>PRAXIS® MIDDLE SCHOOL SCIENCE (5442)</w:t>
      </w:r>
    </w:p>
    <w:p w:rsidR="0089546D" w:rsidRPr="001C6A89" w:rsidRDefault="0089546D" w:rsidP="0027447D">
      <w:pPr>
        <w:spacing w:after="0"/>
        <w:rPr>
          <w:rFonts w:cs="Times New Roman"/>
          <w:szCs w:val="24"/>
        </w:rPr>
      </w:pPr>
    </w:p>
    <w:tbl>
      <w:tblPr>
        <w:tblStyle w:val="TableGrid"/>
        <w:tblW w:w="0" w:type="auto"/>
        <w:tblInd w:w="828" w:type="dxa"/>
        <w:tblLook w:val="04A0" w:firstRow="1" w:lastRow="0" w:firstColumn="1" w:lastColumn="0" w:noHBand="0" w:noVBand="1"/>
        <w:tblCaption w:val="Conditional Standard Error of Measurement Summaries"/>
        <w:tblDescription w:val="Conditional Standard Error of Measurement Summaries&#10;PRAXIS® MIDDLE SCHOOL SCIENCE (5442)&#10;"/>
      </w:tblPr>
      <w:tblGrid>
        <w:gridCol w:w="2790"/>
        <w:gridCol w:w="1710"/>
        <w:gridCol w:w="2610"/>
      </w:tblGrid>
      <w:tr w:rsidR="0089546D" w:rsidRPr="001C6A89" w:rsidTr="004E5FAC">
        <w:trPr>
          <w:cantSplit/>
          <w:tblHeader/>
        </w:trPr>
        <w:tc>
          <w:tcPr>
            <w:tcW w:w="2790" w:type="dxa"/>
          </w:tcPr>
          <w:p w:rsidR="0089546D" w:rsidRPr="001C6A89" w:rsidRDefault="0089546D" w:rsidP="0027447D">
            <w:pPr>
              <w:pStyle w:val="BodyText"/>
              <w:spacing w:line="276" w:lineRule="auto"/>
              <w:jc w:val="left"/>
              <w:rPr>
                <w:bCs/>
                <w:i w:val="0"/>
                <w:iCs/>
                <w:sz w:val="24"/>
                <w:szCs w:val="24"/>
              </w:rPr>
            </w:pPr>
          </w:p>
        </w:tc>
        <w:tc>
          <w:tcPr>
            <w:tcW w:w="1710" w:type="dxa"/>
          </w:tcPr>
          <w:p w:rsidR="0089546D" w:rsidRPr="001C6A89" w:rsidRDefault="0089546D" w:rsidP="0027447D">
            <w:pPr>
              <w:pStyle w:val="BodyText"/>
              <w:spacing w:line="276" w:lineRule="auto"/>
              <w:rPr>
                <w:bCs/>
                <w:i w:val="0"/>
                <w:iCs/>
                <w:sz w:val="24"/>
                <w:szCs w:val="24"/>
              </w:rPr>
            </w:pPr>
            <w:r w:rsidRPr="001C6A89">
              <w:rPr>
                <w:bCs/>
                <w:i w:val="0"/>
                <w:iCs/>
                <w:sz w:val="24"/>
                <w:szCs w:val="24"/>
              </w:rPr>
              <w:t>Raw Score</w:t>
            </w:r>
          </w:p>
        </w:tc>
        <w:tc>
          <w:tcPr>
            <w:tcW w:w="2610" w:type="dxa"/>
          </w:tcPr>
          <w:p w:rsidR="0089546D" w:rsidRPr="001C6A89" w:rsidRDefault="0089546D" w:rsidP="0027447D">
            <w:pPr>
              <w:pStyle w:val="BodyText"/>
              <w:spacing w:line="276" w:lineRule="auto"/>
              <w:rPr>
                <w:bCs/>
                <w:i w:val="0"/>
                <w:iCs/>
                <w:sz w:val="24"/>
                <w:szCs w:val="24"/>
              </w:rPr>
            </w:pPr>
            <w:r>
              <w:rPr>
                <w:bCs/>
                <w:i w:val="0"/>
                <w:iCs/>
                <w:sz w:val="24"/>
                <w:szCs w:val="24"/>
              </w:rPr>
              <w:t>Scale Score E</w:t>
            </w:r>
            <w:r w:rsidRPr="001C6A89">
              <w:rPr>
                <w:bCs/>
                <w:i w:val="0"/>
                <w:iCs/>
                <w:sz w:val="24"/>
                <w:szCs w:val="24"/>
              </w:rPr>
              <w:t>quivalent</w:t>
            </w:r>
          </w:p>
        </w:tc>
      </w:tr>
      <w:tr w:rsidR="0089546D" w:rsidRPr="001C6A89" w:rsidTr="004E5FAC">
        <w:trPr>
          <w:cantSplit/>
        </w:trPr>
        <w:tc>
          <w:tcPr>
            <w:tcW w:w="2790" w:type="dxa"/>
            <w:shd w:val="clear" w:color="auto" w:fill="95B3D7" w:themeFill="accent1" w:themeFillTint="99"/>
          </w:tcPr>
          <w:p w:rsidR="0089546D" w:rsidRPr="001C6A89" w:rsidRDefault="0089546D" w:rsidP="0027447D">
            <w:pPr>
              <w:pStyle w:val="BodyText"/>
              <w:spacing w:line="276" w:lineRule="auto"/>
              <w:rPr>
                <w:b w:val="0"/>
                <w:bCs/>
                <w:iCs/>
                <w:sz w:val="24"/>
                <w:szCs w:val="24"/>
              </w:rPr>
            </w:pPr>
            <w:r w:rsidRPr="001C6A89">
              <w:rPr>
                <w:b w:val="0"/>
                <w:bCs/>
                <w:iCs/>
                <w:sz w:val="24"/>
                <w:szCs w:val="24"/>
              </w:rPr>
              <w:t>Recommended passing score (CSEM)</w:t>
            </w:r>
          </w:p>
        </w:tc>
        <w:tc>
          <w:tcPr>
            <w:tcW w:w="1710" w:type="dxa"/>
            <w:shd w:val="clear" w:color="auto" w:fill="95B3D7" w:themeFill="accent1" w:themeFillTint="99"/>
            <w:vAlign w:val="center"/>
          </w:tcPr>
          <w:p w:rsidR="0089546D" w:rsidRPr="0009788C" w:rsidRDefault="0089546D" w:rsidP="0027447D">
            <w:pPr>
              <w:pStyle w:val="BodyText"/>
              <w:spacing w:line="276" w:lineRule="auto"/>
              <w:rPr>
                <w:bCs/>
                <w:iCs/>
                <w:sz w:val="24"/>
                <w:szCs w:val="24"/>
              </w:rPr>
            </w:pPr>
            <w:r w:rsidRPr="0009788C">
              <w:rPr>
                <w:sz w:val="24"/>
                <w:szCs w:val="24"/>
              </w:rPr>
              <w:t>61 (4.90)</w:t>
            </w:r>
          </w:p>
        </w:tc>
        <w:tc>
          <w:tcPr>
            <w:tcW w:w="2610" w:type="dxa"/>
            <w:shd w:val="clear" w:color="auto" w:fill="95B3D7" w:themeFill="accent1" w:themeFillTint="99"/>
            <w:vAlign w:val="center"/>
          </w:tcPr>
          <w:p w:rsidR="0089546D" w:rsidRPr="0009788C" w:rsidRDefault="0089546D" w:rsidP="0027447D">
            <w:pPr>
              <w:pStyle w:val="BodyText"/>
              <w:spacing w:line="276" w:lineRule="auto"/>
              <w:rPr>
                <w:bCs/>
                <w:iCs/>
                <w:sz w:val="24"/>
                <w:szCs w:val="24"/>
              </w:rPr>
            </w:pPr>
            <w:r w:rsidRPr="0009788C">
              <w:rPr>
                <w:sz w:val="24"/>
                <w:szCs w:val="24"/>
              </w:rPr>
              <w:t>152</w:t>
            </w:r>
          </w:p>
        </w:tc>
      </w:tr>
      <w:tr w:rsidR="0089546D" w:rsidRPr="001C6A89" w:rsidTr="004E5FAC">
        <w:trPr>
          <w:cantSplit/>
        </w:trPr>
        <w:tc>
          <w:tcPr>
            <w:tcW w:w="2790" w:type="dxa"/>
          </w:tcPr>
          <w:p w:rsidR="0089546D" w:rsidRPr="001C6A89" w:rsidRDefault="0089546D" w:rsidP="0027447D">
            <w:pPr>
              <w:pStyle w:val="BodyText"/>
              <w:spacing w:line="276" w:lineRule="auto"/>
              <w:rPr>
                <w:b w:val="0"/>
                <w:bCs/>
                <w:i w:val="0"/>
                <w:iCs/>
                <w:sz w:val="24"/>
                <w:szCs w:val="24"/>
              </w:rPr>
            </w:pPr>
            <w:r w:rsidRPr="001C6A89">
              <w:rPr>
                <w:b w:val="0"/>
                <w:bCs/>
                <w:i w:val="0"/>
                <w:iCs/>
                <w:sz w:val="24"/>
                <w:szCs w:val="24"/>
              </w:rPr>
              <w:t>- 2 CSEM</w:t>
            </w:r>
          </w:p>
        </w:tc>
        <w:tc>
          <w:tcPr>
            <w:tcW w:w="1710" w:type="dxa"/>
          </w:tcPr>
          <w:p w:rsidR="0089546D" w:rsidRPr="001C6A89" w:rsidRDefault="0089546D" w:rsidP="0027447D">
            <w:pPr>
              <w:pStyle w:val="BodyText"/>
              <w:spacing w:line="276" w:lineRule="auto"/>
              <w:rPr>
                <w:b w:val="0"/>
                <w:bCs/>
                <w:i w:val="0"/>
                <w:iCs/>
                <w:sz w:val="24"/>
                <w:szCs w:val="24"/>
              </w:rPr>
            </w:pPr>
            <w:r>
              <w:rPr>
                <w:b w:val="0"/>
                <w:bCs/>
                <w:i w:val="0"/>
                <w:iCs/>
                <w:sz w:val="24"/>
                <w:szCs w:val="24"/>
              </w:rPr>
              <w:t>52</w:t>
            </w:r>
          </w:p>
        </w:tc>
        <w:tc>
          <w:tcPr>
            <w:tcW w:w="2610" w:type="dxa"/>
          </w:tcPr>
          <w:p w:rsidR="0089546D" w:rsidRPr="001C6A89" w:rsidRDefault="0089546D" w:rsidP="0027447D">
            <w:pPr>
              <w:pStyle w:val="BodyText"/>
              <w:spacing w:line="276" w:lineRule="auto"/>
              <w:rPr>
                <w:b w:val="0"/>
                <w:bCs/>
                <w:i w:val="0"/>
                <w:iCs/>
                <w:sz w:val="24"/>
                <w:szCs w:val="24"/>
              </w:rPr>
            </w:pPr>
            <w:r>
              <w:rPr>
                <w:b w:val="0"/>
                <w:bCs/>
                <w:i w:val="0"/>
                <w:iCs/>
                <w:sz w:val="24"/>
                <w:szCs w:val="24"/>
              </w:rPr>
              <w:t>140</w:t>
            </w:r>
          </w:p>
        </w:tc>
      </w:tr>
      <w:tr w:rsidR="0089546D" w:rsidRPr="001C6A89" w:rsidTr="004E5FAC">
        <w:trPr>
          <w:cantSplit/>
        </w:trPr>
        <w:tc>
          <w:tcPr>
            <w:tcW w:w="2790" w:type="dxa"/>
          </w:tcPr>
          <w:p w:rsidR="0089546D" w:rsidRPr="001C6A89" w:rsidRDefault="0089546D" w:rsidP="0027447D">
            <w:pPr>
              <w:pStyle w:val="BodyText"/>
              <w:spacing w:line="276" w:lineRule="auto"/>
              <w:rPr>
                <w:b w:val="0"/>
                <w:bCs/>
                <w:i w:val="0"/>
                <w:iCs/>
                <w:sz w:val="24"/>
                <w:szCs w:val="24"/>
              </w:rPr>
            </w:pPr>
            <w:r w:rsidRPr="001C6A89">
              <w:rPr>
                <w:b w:val="0"/>
                <w:bCs/>
                <w:i w:val="0"/>
                <w:iCs/>
                <w:sz w:val="24"/>
                <w:szCs w:val="24"/>
              </w:rPr>
              <w:t>- 1 CSEM</w:t>
            </w:r>
          </w:p>
        </w:tc>
        <w:tc>
          <w:tcPr>
            <w:tcW w:w="1710" w:type="dxa"/>
          </w:tcPr>
          <w:p w:rsidR="0089546D" w:rsidRPr="001C6A89" w:rsidRDefault="0089546D" w:rsidP="0027447D">
            <w:pPr>
              <w:pStyle w:val="BodyText"/>
              <w:spacing w:line="276" w:lineRule="auto"/>
              <w:rPr>
                <w:b w:val="0"/>
                <w:bCs/>
                <w:i w:val="0"/>
                <w:iCs/>
                <w:sz w:val="24"/>
                <w:szCs w:val="24"/>
              </w:rPr>
            </w:pPr>
            <w:r>
              <w:rPr>
                <w:b w:val="0"/>
                <w:bCs/>
                <w:i w:val="0"/>
                <w:iCs/>
                <w:sz w:val="24"/>
                <w:szCs w:val="24"/>
              </w:rPr>
              <w:t>57</w:t>
            </w:r>
          </w:p>
        </w:tc>
        <w:tc>
          <w:tcPr>
            <w:tcW w:w="2610" w:type="dxa"/>
          </w:tcPr>
          <w:p w:rsidR="0089546D" w:rsidRPr="001C6A89" w:rsidRDefault="0089546D" w:rsidP="0027447D">
            <w:pPr>
              <w:pStyle w:val="BodyText"/>
              <w:spacing w:line="276" w:lineRule="auto"/>
              <w:rPr>
                <w:b w:val="0"/>
                <w:bCs/>
                <w:i w:val="0"/>
                <w:iCs/>
                <w:sz w:val="24"/>
                <w:szCs w:val="24"/>
              </w:rPr>
            </w:pPr>
            <w:r>
              <w:rPr>
                <w:b w:val="0"/>
                <w:bCs/>
                <w:i w:val="0"/>
                <w:iCs/>
                <w:sz w:val="24"/>
                <w:szCs w:val="24"/>
              </w:rPr>
              <w:t>147</w:t>
            </w:r>
          </w:p>
        </w:tc>
      </w:tr>
      <w:tr w:rsidR="0089546D" w:rsidRPr="001C6A89" w:rsidTr="004E5FAC">
        <w:trPr>
          <w:cantSplit/>
        </w:trPr>
        <w:tc>
          <w:tcPr>
            <w:tcW w:w="2790" w:type="dxa"/>
          </w:tcPr>
          <w:p w:rsidR="0089546D" w:rsidRPr="001C6A89" w:rsidRDefault="0089546D" w:rsidP="0027447D">
            <w:pPr>
              <w:pStyle w:val="BodyText"/>
              <w:spacing w:line="276" w:lineRule="auto"/>
              <w:rPr>
                <w:b w:val="0"/>
                <w:bCs/>
                <w:i w:val="0"/>
                <w:iCs/>
                <w:sz w:val="24"/>
                <w:szCs w:val="24"/>
              </w:rPr>
            </w:pPr>
            <w:r w:rsidRPr="001C6A89">
              <w:rPr>
                <w:b w:val="0"/>
                <w:bCs/>
                <w:i w:val="0"/>
                <w:iCs/>
                <w:sz w:val="24"/>
                <w:szCs w:val="24"/>
              </w:rPr>
              <w:t>+1 CSEM</w:t>
            </w:r>
          </w:p>
        </w:tc>
        <w:tc>
          <w:tcPr>
            <w:tcW w:w="1710" w:type="dxa"/>
          </w:tcPr>
          <w:p w:rsidR="0089546D" w:rsidRPr="001C6A89" w:rsidRDefault="0089546D" w:rsidP="0027447D">
            <w:pPr>
              <w:pStyle w:val="BodyText"/>
              <w:spacing w:line="276" w:lineRule="auto"/>
              <w:rPr>
                <w:b w:val="0"/>
                <w:bCs/>
                <w:i w:val="0"/>
                <w:iCs/>
                <w:sz w:val="24"/>
                <w:szCs w:val="24"/>
              </w:rPr>
            </w:pPr>
            <w:r>
              <w:rPr>
                <w:b w:val="0"/>
                <w:bCs/>
                <w:i w:val="0"/>
                <w:iCs/>
                <w:sz w:val="24"/>
                <w:szCs w:val="24"/>
              </w:rPr>
              <w:t>66</w:t>
            </w:r>
          </w:p>
        </w:tc>
        <w:tc>
          <w:tcPr>
            <w:tcW w:w="2610" w:type="dxa"/>
          </w:tcPr>
          <w:p w:rsidR="0089546D" w:rsidRPr="001C6A89" w:rsidRDefault="0089546D" w:rsidP="0027447D">
            <w:pPr>
              <w:pStyle w:val="BodyText"/>
              <w:spacing w:line="276" w:lineRule="auto"/>
              <w:rPr>
                <w:b w:val="0"/>
                <w:bCs/>
                <w:i w:val="0"/>
                <w:iCs/>
                <w:sz w:val="24"/>
                <w:szCs w:val="24"/>
              </w:rPr>
            </w:pPr>
            <w:r>
              <w:rPr>
                <w:b w:val="0"/>
                <w:bCs/>
                <w:i w:val="0"/>
                <w:iCs/>
                <w:sz w:val="24"/>
                <w:szCs w:val="24"/>
              </w:rPr>
              <w:t>159</w:t>
            </w:r>
          </w:p>
        </w:tc>
      </w:tr>
      <w:tr w:rsidR="0089546D" w:rsidRPr="001C6A89" w:rsidTr="004E5FAC">
        <w:trPr>
          <w:cantSplit/>
        </w:trPr>
        <w:tc>
          <w:tcPr>
            <w:tcW w:w="2790" w:type="dxa"/>
          </w:tcPr>
          <w:p w:rsidR="0089546D" w:rsidRPr="001C6A89" w:rsidRDefault="0089546D" w:rsidP="0027447D">
            <w:pPr>
              <w:pStyle w:val="BodyText"/>
              <w:spacing w:line="276" w:lineRule="auto"/>
              <w:rPr>
                <w:b w:val="0"/>
                <w:bCs/>
                <w:i w:val="0"/>
                <w:iCs/>
                <w:sz w:val="24"/>
                <w:szCs w:val="24"/>
              </w:rPr>
            </w:pPr>
            <w:r w:rsidRPr="001C6A89">
              <w:rPr>
                <w:b w:val="0"/>
                <w:bCs/>
                <w:i w:val="0"/>
                <w:iCs/>
                <w:sz w:val="24"/>
                <w:szCs w:val="24"/>
              </w:rPr>
              <w:t>+2 CSEM</w:t>
            </w:r>
          </w:p>
        </w:tc>
        <w:tc>
          <w:tcPr>
            <w:tcW w:w="1710" w:type="dxa"/>
          </w:tcPr>
          <w:p w:rsidR="0089546D" w:rsidRPr="001C6A89" w:rsidRDefault="0089546D" w:rsidP="0027447D">
            <w:pPr>
              <w:pStyle w:val="BodyText"/>
              <w:spacing w:line="276" w:lineRule="auto"/>
              <w:rPr>
                <w:b w:val="0"/>
                <w:bCs/>
                <w:i w:val="0"/>
                <w:iCs/>
                <w:sz w:val="24"/>
                <w:szCs w:val="24"/>
              </w:rPr>
            </w:pPr>
            <w:r>
              <w:rPr>
                <w:b w:val="0"/>
                <w:bCs/>
                <w:i w:val="0"/>
                <w:iCs/>
                <w:sz w:val="24"/>
                <w:szCs w:val="24"/>
              </w:rPr>
              <w:t>71</w:t>
            </w:r>
          </w:p>
        </w:tc>
        <w:tc>
          <w:tcPr>
            <w:tcW w:w="2610" w:type="dxa"/>
          </w:tcPr>
          <w:p w:rsidR="0089546D" w:rsidRPr="001C6A89" w:rsidRDefault="0089546D" w:rsidP="0027447D">
            <w:pPr>
              <w:pStyle w:val="BodyText"/>
              <w:spacing w:line="276" w:lineRule="auto"/>
              <w:rPr>
                <w:b w:val="0"/>
                <w:bCs/>
                <w:i w:val="0"/>
                <w:iCs/>
                <w:sz w:val="24"/>
                <w:szCs w:val="24"/>
              </w:rPr>
            </w:pPr>
            <w:r>
              <w:rPr>
                <w:b w:val="0"/>
                <w:bCs/>
                <w:i w:val="0"/>
                <w:iCs/>
                <w:sz w:val="24"/>
                <w:szCs w:val="24"/>
              </w:rPr>
              <w:t>166</w:t>
            </w:r>
          </w:p>
        </w:tc>
      </w:tr>
    </w:tbl>
    <w:p w:rsidR="0089546D" w:rsidRPr="001C6A89" w:rsidRDefault="0089546D" w:rsidP="0027447D">
      <w:pPr>
        <w:spacing w:after="0"/>
        <w:rPr>
          <w:rFonts w:cs="Times New Roman"/>
          <w:szCs w:val="24"/>
        </w:rPr>
      </w:pPr>
    </w:p>
    <w:p w:rsidR="0089546D" w:rsidRPr="001C6A89" w:rsidRDefault="0089546D" w:rsidP="0027447D">
      <w:pPr>
        <w:spacing w:after="0"/>
        <w:rPr>
          <w:rFonts w:cs="Times New Roman"/>
          <w:szCs w:val="24"/>
        </w:rPr>
      </w:pPr>
      <w:r w:rsidRPr="001C6A89">
        <w:rPr>
          <w:rFonts w:cs="Times New Roman"/>
          <w:szCs w:val="24"/>
        </w:rPr>
        <w:t>ETS provides a recommended passing score from the multistate standard-setting study to help</w:t>
      </w:r>
    </w:p>
    <w:p w:rsidR="0089546D" w:rsidRDefault="0089546D" w:rsidP="0027447D">
      <w:pPr>
        <w:spacing w:after="0"/>
        <w:rPr>
          <w:rFonts w:cs="Times New Roman"/>
          <w:szCs w:val="24"/>
        </w:rPr>
      </w:pPr>
      <w:r w:rsidRPr="001C6A89">
        <w:rPr>
          <w:rFonts w:cs="Times New Roman"/>
          <w:szCs w:val="24"/>
        </w:rPr>
        <w:t>education agencies determine an appropriate operational passing score. For the Praxis Middle School Science test, the recommended passing score is 61 out of a possible 100 raw-score points. The scale score associated with a raw score of 61 is 152 on a 100–200 scale.</w:t>
      </w:r>
    </w:p>
    <w:p w:rsidR="0089546D" w:rsidRDefault="0089546D" w:rsidP="0027447D">
      <w:pPr>
        <w:spacing w:after="0"/>
        <w:rPr>
          <w:rFonts w:cs="Times New Roman"/>
          <w:szCs w:val="24"/>
        </w:rPr>
      </w:pPr>
      <w:bookmarkStart w:id="0" w:name="_GoBack"/>
    </w:p>
    <w:p w:rsidR="0089546D" w:rsidRPr="00C831DC" w:rsidRDefault="00C831DC" w:rsidP="0027447D">
      <w:pPr>
        <w:spacing w:after="0"/>
      </w:pPr>
      <w:r>
        <w:rPr>
          <w:rFonts w:cs="Times New Roman"/>
          <w:szCs w:val="24"/>
        </w:rPr>
        <w:lastRenderedPageBreak/>
        <w:t>On November 16, 2020, i</w:t>
      </w:r>
      <w:r w:rsidR="0089546D" w:rsidRPr="00274F49">
        <w:rPr>
          <w:rFonts w:cs="Times New Roman"/>
          <w:szCs w:val="24"/>
        </w:rPr>
        <w:t>nformation re</w:t>
      </w:r>
      <w:r w:rsidR="0089546D">
        <w:rPr>
          <w:rFonts w:cs="Times New Roman"/>
          <w:szCs w:val="24"/>
        </w:rPr>
        <w:t>garding the multistate standard-</w:t>
      </w:r>
      <w:r w:rsidR="0089546D" w:rsidRPr="00274F49">
        <w:rPr>
          <w:rFonts w:cs="Times New Roman"/>
          <w:szCs w:val="24"/>
        </w:rPr>
        <w:t>setting</w:t>
      </w:r>
      <w:r w:rsidR="0089546D">
        <w:rPr>
          <w:rFonts w:cs="Times New Roman"/>
          <w:szCs w:val="24"/>
        </w:rPr>
        <w:t xml:space="preserve"> process</w:t>
      </w:r>
      <w:r>
        <w:rPr>
          <w:rFonts w:cs="Times New Roman"/>
          <w:szCs w:val="24"/>
        </w:rPr>
        <w:t xml:space="preserve"> was</w:t>
      </w:r>
      <w:r w:rsidR="0089546D" w:rsidRPr="00274F49">
        <w:rPr>
          <w:rFonts w:cs="Times New Roman"/>
          <w:szCs w:val="24"/>
        </w:rPr>
        <w:t xml:space="preserve"> </w:t>
      </w:r>
      <w:bookmarkEnd w:id="0"/>
      <w:r w:rsidR="0089546D" w:rsidRPr="00274F49">
        <w:rPr>
          <w:rFonts w:cs="Times New Roman"/>
          <w:szCs w:val="24"/>
        </w:rPr>
        <w:t xml:space="preserve">presented to the Advisory Board members by </w:t>
      </w:r>
      <w:r w:rsidR="0089546D" w:rsidRPr="00274F49">
        <w:rPr>
          <w:rFonts w:eastAsia="Times New Roman" w:cs="Times New Roman"/>
          <w:bCs/>
          <w:iCs/>
          <w:color w:val="222222"/>
          <w:szCs w:val="24"/>
        </w:rPr>
        <w:t>Malik K. McKinley, Sr.,</w:t>
      </w:r>
      <w:r w:rsidR="0089546D" w:rsidRPr="00274F49">
        <w:rPr>
          <w:rFonts w:eastAsia="Times New Roman" w:cs="Times New Roman"/>
          <w:b/>
          <w:bCs/>
          <w:iCs/>
          <w:color w:val="222222"/>
          <w:szCs w:val="24"/>
        </w:rPr>
        <w:t xml:space="preserve"> </w:t>
      </w:r>
      <w:r w:rsidR="0089546D" w:rsidRPr="00274F49">
        <w:rPr>
          <w:rFonts w:eastAsia="Times New Roman" w:cs="Times New Roman"/>
          <w:color w:val="222222"/>
          <w:szCs w:val="24"/>
        </w:rPr>
        <w:t>Di</w:t>
      </w:r>
      <w:r w:rsidR="0089546D">
        <w:rPr>
          <w:rFonts w:eastAsia="Times New Roman" w:cs="Times New Roman"/>
          <w:color w:val="222222"/>
          <w:szCs w:val="24"/>
        </w:rPr>
        <w:t xml:space="preserve">rector of Client Relations, </w:t>
      </w:r>
      <w:r w:rsidR="0089546D" w:rsidRPr="00274F49">
        <w:rPr>
          <w:rFonts w:eastAsia="Times New Roman" w:cs="Times New Roman"/>
          <w:iCs/>
          <w:color w:val="222222"/>
          <w:szCs w:val="24"/>
        </w:rPr>
        <w:t xml:space="preserve">Professional Educator Programs, </w:t>
      </w:r>
      <w:r w:rsidR="0089546D" w:rsidRPr="00274F49">
        <w:rPr>
          <w:rFonts w:eastAsia="Times New Roman" w:cs="Times New Roman"/>
          <w:color w:val="222222"/>
          <w:szCs w:val="24"/>
        </w:rPr>
        <w:t>Office for Teacher Licensure and Certification, Student and Teacher Assessment Division, Educational Testing Service.</w:t>
      </w:r>
      <w:r>
        <w:t xml:space="preserve"> The Advisory Board members reviewed the standard-setting report and recommended that the Board of Education approve the passing score of 147 (-1 CSEM below the standard setting panel’s recommendation).</w:t>
      </w:r>
      <w:r w:rsidR="0027447D">
        <w:t xml:space="preserve">  </w:t>
      </w:r>
    </w:p>
    <w:p w:rsidR="0027447D" w:rsidRDefault="0027447D" w:rsidP="0027447D">
      <w:pPr>
        <w:spacing w:after="0"/>
        <w:rPr>
          <w:rFonts w:cs="Times New Roman"/>
          <w:szCs w:val="24"/>
        </w:rPr>
      </w:pPr>
    </w:p>
    <w:p w:rsidR="0089546D" w:rsidRDefault="0089546D" w:rsidP="0027447D">
      <w:pPr>
        <w:spacing w:after="0"/>
        <w:rPr>
          <w:rFonts w:cs="Times New Roman"/>
          <w:szCs w:val="24"/>
        </w:rPr>
      </w:pPr>
      <w:r>
        <w:rPr>
          <w:rFonts w:cs="Times New Roman"/>
          <w:szCs w:val="24"/>
        </w:rPr>
        <w:t>T</w:t>
      </w:r>
      <w:r w:rsidRPr="001C6A89">
        <w:rPr>
          <w:rFonts w:cs="Times New Roman"/>
          <w:szCs w:val="24"/>
        </w:rPr>
        <w:t xml:space="preserve">he </w:t>
      </w:r>
      <w:r w:rsidRPr="001C6A89">
        <w:rPr>
          <w:rFonts w:cs="Times New Roman"/>
          <w:i/>
          <w:szCs w:val="24"/>
        </w:rPr>
        <w:t>Code of Virginia</w:t>
      </w:r>
      <w:r w:rsidRPr="001C6A89">
        <w:rPr>
          <w:rFonts w:cs="Times New Roman"/>
          <w:szCs w:val="24"/>
        </w:rPr>
        <w:t xml:space="preserve"> provide</w:t>
      </w:r>
      <w:r>
        <w:rPr>
          <w:rFonts w:cs="Times New Roman"/>
          <w:szCs w:val="24"/>
        </w:rPr>
        <w:t>s the</w:t>
      </w:r>
      <w:r w:rsidRPr="001C6A89">
        <w:rPr>
          <w:rFonts w:cs="Times New Roman"/>
          <w:szCs w:val="24"/>
        </w:rPr>
        <w:t xml:space="preserve"> authority for the Board of Education to promulgate </w:t>
      </w:r>
      <w:r w:rsidR="00D44E7C">
        <w:rPr>
          <w:rFonts w:cs="Times New Roman"/>
          <w:szCs w:val="24"/>
        </w:rPr>
        <w:t xml:space="preserve">the </w:t>
      </w:r>
      <w:r w:rsidRPr="001C6A89">
        <w:rPr>
          <w:rFonts w:cs="Times New Roman"/>
          <w:i/>
          <w:szCs w:val="24"/>
        </w:rPr>
        <w:t>Licensure Regulations for School Personnel</w:t>
      </w:r>
      <w:r w:rsidRPr="001C6A89">
        <w:rPr>
          <w:rFonts w:cs="Times New Roman"/>
          <w:szCs w:val="24"/>
        </w:rPr>
        <w:t>.</w:t>
      </w:r>
    </w:p>
    <w:p w:rsidR="0089546D" w:rsidRPr="001C6A89" w:rsidRDefault="0089546D" w:rsidP="0027447D">
      <w:pPr>
        <w:spacing w:after="0"/>
        <w:rPr>
          <w:rFonts w:cs="Times New Roman"/>
          <w:szCs w:val="24"/>
        </w:rPr>
      </w:pPr>
    </w:p>
    <w:p w:rsidR="0089546D" w:rsidRDefault="0089546D" w:rsidP="00463DFE">
      <w:pPr>
        <w:spacing w:after="0"/>
        <w:ind w:left="720"/>
        <w:rPr>
          <w:rFonts w:cs="Times New Roman"/>
          <w:szCs w:val="24"/>
        </w:rPr>
      </w:pPr>
      <w:r w:rsidRPr="001C6A89">
        <w:rPr>
          <w:rFonts w:cs="Times New Roman"/>
          <w:szCs w:val="24"/>
        </w:rPr>
        <w:t>Section</w:t>
      </w:r>
      <w:r w:rsidRPr="00E120E8">
        <w:rPr>
          <w:rFonts w:cs="Times New Roman"/>
          <w:b/>
          <w:szCs w:val="24"/>
        </w:rPr>
        <w:t xml:space="preserve"> </w:t>
      </w:r>
      <w:hyperlink r:id="rId11" w:history="1">
        <w:r w:rsidRPr="00E120E8">
          <w:rPr>
            <w:rStyle w:val="Hyperlink"/>
            <w:rFonts w:cs="Times New Roman"/>
            <w:b/>
            <w:szCs w:val="24"/>
          </w:rPr>
          <w:t>22.1-298.1</w:t>
        </w:r>
      </w:hyperlink>
      <w:r w:rsidRPr="001C6A89">
        <w:rPr>
          <w:rFonts w:cs="Times New Roman"/>
          <w:szCs w:val="24"/>
        </w:rPr>
        <w:t xml:space="preserve"> of the </w:t>
      </w:r>
      <w:r w:rsidRPr="001C6A89">
        <w:rPr>
          <w:rFonts w:cs="Times New Roman"/>
          <w:i/>
          <w:szCs w:val="24"/>
        </w:rPr>
        <w:t>Code of Virginia</w:t>
      </w:r>
      <w:r w:rsidRPr="001C6A89">
        <w:rPr>
          <w:rFonts w:cs="Times New Roman"/>
          <w:szCs w:val="24"/>
        </w:rPr>
        <w:t>, states in part, the following:</w:t>
      </w:r>
    </w:p>
    <w:p w:rsidR="0089546D" w:rsidRPr="001C6A89" w:rsidRDefault="0089546D" w:rsidP="0027447D">
      <w:pPr>
        <w:spacing w:after="0"/>
        <w:rPr>
          <w:rFonts w:cs="Times New Roman"/>
          <w:szCs w:val="24"/>
        </w:rPr>
      </w:pPr>
    </w:p>
    <w:p w:rsidR="0089546D" w:rsidRPr="001C6A89" w:rsidRDefault="0089546D" w:rsidP="0027447D">
      <w:pPr>
        <w:spacing w:after="0"/>
        <w:ind w:left="720"/>
        <w:rPr>
          <w:rFonts w:cs="Times New Roman"/>
          <w:b/>
          <w:szCs w:val="24"/>
        </w:rPr>
      </w:pPr>
      <w:r w:rsidRPr="001C6A89">
        <w:rPr>
          <w:rFonts w:cs="Times New Roman"/>
          <w:szCs w:val="24"/>
        </w:rPr>
        <w:t xml:space="preserve">§ </w:t>
      </w:r>
      <w:hyperlink r:id="rId12" w:history="1">
        <w:r w:rsidRPr="00E120E8">
          <w:rPr>
            <w:rStyle w:val="Hyperlink"/>
            <w:rFonts w:eastAsia="Calibri" w:cs="Times New Roman"/>
            <w:b/>
            <w:szCs w:val="24"/>
          </w:rPr>
          <w:t>22.1-298.1</w:t>
        </w:r>
      </w:hyperlink>
      <w:r w:rsidRPr="001C6A89">
        <w:rPr>
          <w:rFonts w:cs="Times New Roman"/>
          <w:szCs w:val="24"/>
        </w:rPr>
        <w:t xml:space="preserve"> </w:t>
      </w:r>
      <w:r w:rsidRPr="001C6A89">
        <w:rPr>
          <w:rFonts w:cs="Times New Roman"/>
          <w:b/>
          <w:szCs w:val="24"/>
        </w:rPr>
        <w:t>Regulations governing licensure.</w:t>
      </w:r>
    </w:p>
    <w:p w:rsidR="0089546D" w:rsidRPr="000C30B2" w:rsidRDefault="0089546D" w:rsidP="0027447D">
      <w:pPr>
        <w:pStyle w:val="NormalWeb"/>
        <w:spacing w:after="0" w:line="276" w:lineRule="auto"/>
        <w:ind w:left="720"/>
        <w:rPr>
          <w:i/>
          <w:color w:val="000000" w:themeColor="text1"/>
        </w:rPr>
      </w:pPr>
      <w:r w:rsidRPr="000C30B2">
        <w:rPr>
          <w:i/>
          <w:color w:val="000000" w:themeColor="text1"/>
        </w:rPr>
        <w:t>C. The Board of Education's regulations shall include requirements that a person seeking initial licensure:</w:t>
      </w:r>
    </w:p>
    <w:p w:rsidR="0089546D" w:rsidRPr="000C30B2" w:rsidRDefault="0089546D" w:rsidP="0027447D">
      <w:pPr>
        <w:pStyle w:val="NormalWeb"/>
        <w:spacing w:after="0" w:line="276" w:lineRule="auto"/>
        <w:ind w:left="990"/>
        <w:rPr>
          <w:i/>
          <w:color w:val="000000" w:themeColor="text1"/>
        </w:rPr>
      </w:pPr>
      <w:r w:rsidRPr="000C30B2">
        <w:rPr>
          <w:i/>
          <w:color w:val="000000" w:themeColor="text1"/>
        </w:rPr>
        <w:t>1. Demonstrate proficiency in the relevant content area, communication, literacy, and other core skills for educators by achieving a qualifying score on professional assessments or meeting alternative evaluation standards as prescribed by the Board;</w:t>
      </w:r>
    </w:p>
    <w:p w:rsidR="0089546D" w:rsidRPr="000C30B2" w:rsidRDefault="0089546D" w:rsidP="0027447D">
      <w:pPr>
        <w:pStyle w:val="NormalWeb"/>
        <w:spacing w:after="0" w:line="276" w:lineRule="auto"/>
        <w:ind w:left="990"/>
        <w:rPr>
          <w:i/>
          <w:color w:val="000000" w:themeColor="text1"/>
        </w:rPr>
      </w:pPr>
      <w:r w:rsidRPr="000C30B2">
        <w:rPr>
          <w:i/>
          <w:color w:val="000000" w:themeColor="text1"/>
        </w:rPr>
        <w:t>2. Complete study in attention deficit disorder;</w:t>
      </w:r>
    </w:p>
    <w:p w:rsidR="0089546D" w:rsidRPr="000C30B2" w:rsidRDefault="0089546D" w:rsidP="0027447D">
      <w:pPr>
        <w:pStyle w:val="NormalWeb"/>
        <w:spacing w:after="0" w:line="276" w:lineRule="auto"/>
        <w:ind w:left="990"/>
        <w:rPr>
          <w:i/>
          <w:color w:val="000000" w:themeColor="text1"/>
        </w:rPr>
      </w:pPr>
      <w:r w:rsidRPr="000C30B2">
        <w:rPr>
          <w:i/>
          <w:color w:val="000000" w:themeColor="text1"/>
        </w:rPr>
        <w:t>3. Complete study in gifted education, including the use of multiple criteria to identify gifted students; and</w:t>
      </w:r>
    </w:p>
    <w:p w:rsidR="0089546D" w:rsidRPr="000C30B2" w:rsidRDefault="0089546D" w:rsidP="0027447D">
      <w:pPr>
        <w:pStyle w:val="NormalWeb"/>
        <w:spacing w:after="0" w:line="276" w:lineRule="auto"/>
        <w:ind w:left="990"/>
        <w:rPr>
          <w:i/>
          <w:color w:val="000000" w:themeColor="text1"/>
        </w:rPr>
      </w:pPr>
      <w:r w:rsidRPr="000C30B2">
        <w:rPr>
          <w:i/>
          <w:color w:val="000000" w:themeColor="text1"/>
        </w:rPr>
        <w:t>4. Complete study in methods of improving communication between schools and families and ways of increasing family involvement in student learning at home and at school.</w:t>
      </w:r>
    </w:p>
    <w:p w:rsidR="0089546D" w:rsidRPr="001C6A89" w:rsidRDefault="0089546D" w:rsidP="0027447D">
      <w:pPr>
        <w:spacing w:after="0"/>
        <w:ind w:left="720"/>
        <w:rPr>
          <w:rFonts w:cs="Times New Roman"/>
          <w:i/>
          <w:szCs w:val="24"/>
        </w:rPr>
      </w:pPr>
    </w:p>
    <w:p w:rsidR="0089546D" w:rsidRPr="001C6A89" w:rsidRDefault="0089546D" w:rsidP="0027447D">
      <w:pPr>
        <w:spacing w:after="0"/>
        <w:ind w:left="720"/>
        <w:rPr>
          <w:rStyle w:val="Hyperlink"/>
          <w:rFonts w:cs="Times New Roman"/>
          <w:szCs w:val="24"/>
        </w:rPr>
      </w:pPr>
      <w:r w:rsidRPr="001C6A89">
        <w:rPr>
          <w:rFonts w:cs="Times New Roman"/>
          <w:i/>
          <w:szCs w:val="24"/>
        </w:rPr>
        <w:t xml:space="preserve">Code of Virginia, </w:t>
      </w:r>
      <w:r w:rsidRPr="001C6A89">
        <w:rPr>
          <w:rFonts w:cs="Times New Roman"/>
          <w:szCs w:val="24"/>
        </w:rPr>
        <w:t xml:space="preserve">Section </w:t>
      </w:r>
      <w:r w:rsidRPr="001C6A89">
        <w:rPr>
          <w:rFonts w:cs="Times New Roman"/>
          <w:szCs w:val="24"/>
        </w:rPr>
        <w:fldChar w:fldCharType="begin"/>
      </w:r>
      <w:r>
        <w:rPr>
          <w:rFonts w:cs="Times New Roman"/>
          <w:szCs w:val="24"/>
        </w:rPr>
        <w:instrText>HYPERLINK "https://law.lis.virginia.gov/vacode/title22.1/chapter2/section22.1-16/"</w:instrText>
      </w:r>
      <w:r w:rsidRPr="001C6A89">
        <w:rPr>
          <w:rFonts w:cs="Times New Roman"/>
          <w:szCs w:val="24"/>
        </w:rPr>
        <w:fldChar w:fldCharType="separate"/>
      </w:r>
      <w:r w:rsidRPr="001C6A89">
        <w:rPr>
          <w:rStyle w:val="Hyperlink"/>
          <w:rFonts w:cs="Times New Roman"/>
          <w:szCs w:val="24"/>
        </w:rPr>
        <w:t>22.1-16. Bylaws and regulations generally.</w:t>
      </w:r>
    </w:p>
    <w:p w:rsidR="0089546D" w:rsidRPr="001C6A89" w:rsidRDefault="0089546D" w:rsidP="0027447D">
      <w:pPr>
        <w:spacing w:after="0"/>
        <w:ind w:left="720"/>
        <w:rPr>
          <w:rStyle w:val="Hyperlink"/>
          <w:rFonts w:cs="Times New Roman"/>
          <w:i/>
          <w:szCs w:val="24"/>
        </w:rPr>
      </w:pPr>
      <w:r w:rsidRPr="001C6A89">
        <w:rPr>
          <w:rFonts w:cs="Times New Roman"/>
          <w:szCs w:val="24"/>
        </w:rPr>
        <w:fldChar w:fldCharType="end"/>
      </w:r>
      <w:r w:rsidRPr="001C6A89">
        <w:rPr>
          <w:rFonts w:cs="Times New Roman"/>
          <w:i/>
          <w:szCs w:val="24"/>
        </w:rPr>
        <w:t xml:space="preserve">Code of Virginia, </w:t>
      </w:r>
      <w:r w:rsidRPr="001C6A89">
        <w:rPr>
          <w:rFonts w:cs="Times New Roman"/>
          <w:szCs w:val="24"/>
        </w:rPr>
        <w:t xml:space="preserve">Section </w:t>
      </w:r>
      <w:r>
        <w:rPr>
          <w:rFonts w:cs="Times New Roman"/>
          <w:szCs w:val="24"/>
        </w:rPr>
        <w:fldChar w:fldCharType="begin"/>
      </w:r>
      <w:r>
        <w:rPr>
          <w:rFonts w:cs="Times New Roman"/>
          <w:szCs w:val="24"/>
        </w:rPr>
        <w:instrText xml:space="preserve"> HYPERLINK "https://law.lis.virginia.gov/vacode/title22.1/chapter15/section22.1-299/" </w:instrText>
      </w:r>
      <w:r>
        <w:rPr>
          <w:rFonts w:cs="Times New Roman"/>
          <w:szCs w:val="24"/>
        </w:rPr>
        <w:fldChar w:fldCharType="separate"/>
      </w:r>
      <w:r w:rsidRPr="001C6A89">
        <w:rPr>
          <w:rStyle w:val="Hyperlink"/>
          <w:rFonts w:cs="Times New Roman"/>
          <w:szCs w:val="24"/>
        </w:rPr>
        <w:t>22.1-299. License required of teachers.</w:t>
      </w:r>
    </w:p>
    <w:p w:rsidR="0089546D" w:rsidRPr="001C6A89" w:rsidRDefault="0089546D" w:rsidP="0027447D">
      <w:pPr>
        <w:spacing w:after="0"/>
        <w:ind w:left="720" w:right="-90"/>
        <w:rPr>
          <w:rFonts w:cs="Times New Roman"/>
          <w:szCs w:val="24"/>
        </w:rPr>
      </w:pPr>
      <w:r>
        <w:rPr>
          <w:rFonts w:cs="Times New Roman"/>
          <w:szCs w:val="24"/>
        </w:rPr>
        <w:fldChar w:fldCharType="end"/>
      </w:r>
      <w:r w:rsidRPr="001C6A89">
        <w:rPr>
          <w:rFonts w:cs="Times New Roman"/>
          <w:i/>
          <w:szCs w:val="24"/>
        </w:rPr>
        <w:t xml:space="preserve">Code of Virginia, </w:t>
      </w:r>
      <w:r w:rsidRPr="001C6A89">
        <w:rPr>
          <w:rFonts w:cs="Times New Roman"/>
          <w:szCs w:val="24"/>
        </w:rPr>
        <w:t xml:space="preserve">Section </w:t>
      </w:r>
      <w:hyperlink r:id="rId13" w:history="1">
        <w:r w:rsidRPr="001C6A89">
          <w:rPr>
            <w:rStyle w:val="Hyperlink"/>
            <w:rFonts w:cs="Times New Roman"/>
            <w:szCs w:val="24"/>
          </w:rPr>
          <w:t>22.1-305.2. Advisory Board on Teacher Education and Licensure.</w:t>
        </w:r>
      </w:hyperlink>
    </w:p>
    <w:p w:rsidR="0089546D" w:rsidRDefault="0089546D" w:rsidP="0027447D">
      <w:pPr>
        <w:spacing w:after="0"/>
        <w:outlineLvl w:val="1"/>
        <w:rPr>
          <w:rFonts w:eastAsia="Times New Roman" w:cs="Times New Roman"/>
          <w:color w:val="444444"/>
          <w:szCs w:val="24"/>
        </w:rPr>
      </w:pPr>
    </w:p>
    <w:p w:rsidR="0089546D" w:rsidRPr="005D7FCA" w:rsidRDefault="0089546D" w:rsidP="0027447D">
      <w:pPr>
        <w:spacing w:after="0"/>
        <w:outlineLvl w:val="1"/>
        <w:rPr>
          <w:rFonts w:eastAsia="Times New Roman" w:cs="Times New Roman"/>
          <w:szCs w:val="24"/>
        </w:rPr>
      </w:pPr>
      <w:r w:rsidRPr="005D7FCA">
        <w:rPr>
          <w:rFonts w:eastAsia="Times New Roman" w:cs="Times New Roman"/>
          <w:szCs w:val="24"/>
        </w:rPr>
        <w:t xml:space="preserve">The </w:t>
      </w:r>
      <w:hyperlink r:id="rId14" w:history="1">
        <w:r w:rsidRPr="000C30B2">
          <w:rPr>
            <w:rStyle w:val="Hyperlink"/>
            <w:rFonts w:eastAsia="Times New Roman" w:cs="Times New Roman"/>
            <w:i/>
            <w:szCs w:val="24"/>
          </w:rPr>
          <w:t>Licensure Regulations for School Personnel</w:t>
        </w:r>
      </w:hyperlink>
      <w:r w:rsidRPr="005D7FCA">
        <w:rPr>
          <w:rFonts w:eastAsia="Times New Roman" w:cs="Times New Roman"/>
          <w:szCs w:val="24"/>
        </w:rPr>
        <w:t xml:space="preserve"> state, in part, the following:</w:t>
      </w:r>
    </w:p>
    <w:p w:rsidR="0089546D" w:rsidRPr="005D7FCA" w:rsidRDefault="0089546D" w:rsidP="0027447D">
      <w:pPr>
        <w:spacing w:after="0"/>
        <w:outlineLvl w:val="1"/>
        <w:rPr>
          <w:rFonts w:eastAsia="Times New Roman" w:cs="Times New Roman"/>
          <w:szCs w:val="24"/>
        </w:rPr>
      </w:pPr>
    </w:p>
    <w:p w:rsidR="0089546D" w:rsidRPr="000C30B2" w:rsidRDefault="000D7C4D" w:rsidP="00463DFE">
      <w:pPr>
        <w:pStyle w:val="Heading2"/>
        <w:spacing w:before="0" w:after="0"/>
        <w:ind w:left="450"/>
        <w:rPr>
          <w:color w:val="000000" w:themeColor="text1"/>
        </w:rPr>
      </w:pPr>
      <w:hyperlink r:id="rId15" w:history="1">
        <w:r w:rsidR="0089546D" w:rsidRPr="000C30B2">
          <w:rPr>
            <w:rStyle w:val="Hyperlink"/>
            <w:color w:val="000000" w:themeColor="text1"/>
          </w:rPr>
          <w:t>8VAC20-22-40</w:t>
        </w:r>
      </w:hyperlink>
      <w:r w:rsidR="0089546D" w:rsidRPr="000C30B2">
        <w:rPr>
          <w:color w:val="000000" w:themeColor="text1"/>
        </w:rPr>
        <w:t>. Conditions for Licensure.</w:t>
      </w:r>
    </w:p>
    <w:p w:rsidR="0089546D" w:rsidRDefault="0089546D" w:rsidP="0027447D">
      <w:pPr>
        <w:tabs>
          <w:tab w:val="left" w:pos="990"/>
        </w:tabs>
        <w:spacing w:after="0"/>
        <w:ind w:left="990" w:hanging="540"/>
        <w:rPr>
          <w:rFonts w:cs="Times New Roman"/>
          <w:i/>
          <w:color w:val="000000" w:themeColor="text1"/>
          <w:szCs w:val="24"/>
        </w:rPr>
      </w:pPr>
      <w:r w:rsidRPr="000C30B2">
        <w:rPr>
          <w:rFonts w:eastAsia="Times New Roman" w:cs="Times New Roman"/>
          <w:i/>
          <w:color w:val="000000" w:themeColor="text1"/>
          <w:szCs w:val="24"/>
        </w:rPr>
        <w:t>…</w:t>
      </w:r>
      <w:r w:rsidRPr="000C30B2">
        <w:rPr>
          <w:rFonts w:cs="Times New Roman"/>
          <w:i/>
          <w:color w:val="000000" w:themeColor="text1"/>
          <w:szCs w:val="24"/>
        </w:rPr>
        <w:t xml:space="preserve"> B. All candidates who hold at least a baccalaureate degree from a regionally accredited college or university and who seek an initial Virginia teaching license shall obtain passing scores on professional teacher's assessments prescribed by the Virginia Board of Education. With the exception of the career switcher program that requires assessments as prerequisites, individuals shall complete the professional teacher's assessment requirements within the three-year validity of the initial provisional license….</w:t>
      </w:r>
    </w:p>
    <w:p w:rsidR="0027447D" w:rsidRPr="000C30B2" w:rsidRDefault="0027447D" w:rsidP="0027447D">
      <w:pPr>
        <w:tabs>
          <w:tab w:val="left" w:pos="990"/>
        </w:tabs>
        <w:spacing w:after="0"/>
        <w:ind w:left="990" w:hanging="540"/>
        <w:rPr>
          <w:rFonts w:eastAsia="Times New Roman" w:cs="Times New Roman"/>
          <w:i/>
          <w:color w:val="000000" w:themeColor="text1"/>
          <w:szCs w:val="24"/>
        </w:rPr>
      </w:pPr>
    </w:p>
    <w:p w:rsidR="0089546D" w:rsidRPr="000C30B2" w:rsidRDefault="000D7C4D" w:rsidP="00463DFE">
      <w:pPr>
        <w:pStyle w:val="Heading2"/>
        <w:spacing w:before="0" w:after="0"/>
        <w:ind w:left="450"/>
        <w:rPr>
          <w:color w:val="000000" w:themeColor="text1"/>
        </w:rPr>
      </w:pPr>
      <w:hyperlink r:id="rId16" w:history="1">
        <w:r w:rsidR="0089546D" w:rsidRPr="000C30B2">
          <w:rPr>
            <w:rStyle w:val="Hyperlink"/>
            <w:color w:val="000000" w:themeColor="text1"/>
          </w:rPr>
          <w:t>8VAC20-22-70</w:t>
        </w:r>
      </w:hyperlink>
      <w:r w:rsidR="0089546D" w:rsidRPr="000C30B2">
        <w:rPr>
          <w:color w:val="000000" w:themeColor="text1"/>
        </w:rPr>
        <w:t>. Additional Endorsements.</w:t>
      </w:r>
    </w:p>
    <w:p w:rsidR="0089546D" w:rsidRPr="000C30B2" w:rsidRDefault="0089546D" w:rsidP="0027447D">
      <w:pPr>
        <w:pStyle w:val="ListParagraph"/>
        <w:numPr>
          <w:ilvl w:val="0"/>
          <w:numId w:val="8"/>
        </w:numPr>
        <w:spacing w:after="0"/>
        <w:rPr>
          <w:rFonts w:cs="Times New Roman"/>
          <w:i/>
          <w:color w:val="000000" w:themeColor="text1"/>
          <w:szCs w:val="24"/>
        </w:rPr>
      </w:pPr>
      <w:r w:rsidRPr="000C30B2">
        <w:rPr>
          <w:rFonts w:cs="Times New Roman"/>
          <w:i/>
          <w:color w:val="000000" w:themeColor="text1"/>
          <w:szCs w:val="24"/>
        </w:rPr>
        <w:t>An individual who holds a teaching license may add an additional teaching endorsement to the license by passing a rigorous academic subject test for endorsements in which a test is prescribed by the Virginia Board of Education. This testing option does not apply to individuals (i) who are seeking an early/primary education preK-3 or elementary education preK-6 endorsement, special education endorsements, or a reading specialist endorsement or (ii) who hold a Technical Professional License, Vocational Evaluator License, Pupil Personnel Services License, School Manager License, or Division Superintendent License.</w:t>
      </w:r>
    </w:p>
    <w:p w:rsidR="006E03E9" w:rsidRDefault="0094605A" w:rsidP="0027447D">
      <w:pPr>
        <w:spacing w:after="0"/>
        <w:rPr>
          <w:rStyle w:val="Heading2Char"/>
        </w:rPr>
      </w:pPr>
      <w:r>
        <w:br/>
      </w:r>
      <w:r w:rsidR="00123E2E" w:rsidRPr="007503E8">
        <w:rPr>
          <w:rStyle w:val="Heading2Char"/>
        </w:rPr>
        <w:t>Timetable for Further Review/Action:</w:t>
      </w:r>
    </w:p>
    <w:p w:rsidR="009B109E" w:rsidRDefault="0027447D" w:rsidP="0027447D">
      <w:pPr>
        <w:spacing w:after="0"/>
      </w:pPr>
      <w:r>
        <w:t>The Board of Education will receive this recommendation from the Advisory Board on Teacher Education and Licensure for final review on March 18, 2021.</w:t>
      </w:r>
      <w:r w:rsidR="00D9096B" w:rsidRPr="007503E8">
        <w:br/>
      </w:r>
      <w:r w:rsidR="007503E8" w:rsidRPr="0027447D">
        <w:rPr>
          <w:b/>
        </w:rPr>
        <w:br/>
      </w:r>
      <w:r w:rsidR="000E009D" w:rsidRPr="0027447D">
        <w:rPr>
          <w:b/>
        </w:rPr>
        <w:t>Impact on Fiscal and Human Resources:</w:t>
      </w:r>
      <w:r w:rsidR="000E009D" w:rsidRPr="007503E8">
        <w:t xml:space="preserve"> </w:t>
      </w:r>
    </w:p>
    <w:p w:rsidR="00B33446" w:rsidRDefault="00EB3E6B" w:rsidP="0027447D">
      <w:pPr>
        <w:spacing w:after="0"/>
      </w:pPr>
      <w:r>
        <w:t xml:space="preserve">The individuals taking the </w:t>
      </w:r>
      <w:r w:rsidRPr="00EB3E6B">
        <w:rPr>
          <w:rFonts w:cs="Times New Roman"/>
          <w:szCs w:val="24"/>
        </w:rPr>
        <w:t>Praxis® Middle School Science (5442) Test</w:t>
      </w:r>
      <w:r w:rsidR="0027447D" w:rsidRPr="00EB3E6B">
        <w:t xml:space="preserve"> </w:t>
      </w:r>
      <w:r w:rsidR="0027447D">
        <w:t>will incur the costs for the test.</w:t>
      </w:r>
    </w:p>
    <w:p w:rsidR="00B33446" w:rsidRDefault="00B33446" w:rsidP="0027447D">
      <w:pPr>
        <w:spacing w:after="0"/>
        <w:ind w:left="2160" w:hanging="2160"/>
      </w:pPr>
    </w:p>
    <w:p w:rsidR="00B33446" w:rsidRPr="001C6A89" w:rsidRDefault="00B33446" w:rsidP="0027447D">
      <w:pPr>
        <w:pStyle w:val="ListParagraph"/>
        <w:spacing w:after="0"/>
        <w:ind w:left="1080"/>
        <w:rPr>
          <w:rFonts w:cs="Times New Roman"/>
          <w:i/>
          <w:szCs w:val="24"/>
        </w:rPr>
      </w:pPr>
    </w:p>
    <w:p w:rsidR="0020239B" w:rsidRPr="0020239B" w:rsidRDefault="0020239B" w:rsidP="0027447D">
      <w:pPr>
        <w:spacing w:after="0"/>
      </w:pPr>
    </w:p>
    <w:sectPr w:rsidR="0020239B" w:rsidRPr="0020239B" w:rsidSect="000E009D">
      <w:footerReference w:type="default" r:id="rId17"/>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7C5" w:rsidRDefault="005357C5" w:rsidP="000E009D">
      <w:pPr>
        <w:spacing w:after="0" w:line="240" w:lineRule="auto"/>
      </w:pPr>
      <w:r>
        <w:separator/>
      </w:r>
    </w:p>
  </w:endnote>
  <w:endnote w:type="continuationSeparator" w:id="0">
    <w:p w:rsidR="005357C5" w:rsidRDefault="005357C5"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0D7C4D">
          <w:rPr>
            <w:rFonts w:cs="Times New Roman"/>
            <w:noProof/>
          </w:rPr>
          <w:t>E</w:t>
        </w:r>
        <w:r w:rsidRPr="000E009D">
          <w:rPr>
            <w:rFonts w:cs="Times New Roman"/>
            <w:noProof/>
          </w:rPr>
          <w:fldChar w:fldCharType="end"/>
        </w:r>
      </w:p>
    </w:sdtContent>
  </w:sdt>
  <w:p w:rsidR="000E009D" w:rsidRDefault="000E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7C5" w:rsidRDefault="005357C5" w:rsidP="000E009D">
      <w:pPr>
        <w:spacing w:after="0" w:line="240" w:lineRule="auto"/>
      </w:pPr>
      <w:r>
        <w:separator/>
      </w:r>
    </w:p>
  </w:footnote>
  <w:footnote w:type="continuationSeparator" w:id="0">
    <w:p w:rsidR="005357C5" w:rsidRDefault="005357C5"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42494"/>
    <w:multiLevelType w:val="hybridMultilevel"/>
    <w:tmpl w:val="34EEE47A"/>
    <w:lvl w:ilvl="0" w:tplc="50C86F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572E83"/>
    <w:multiLevelType w:val="hybridMultilevel"/>
    <w:tmpl w:val="2D06B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5"/>
  </w:num>
  <w:num w:numId="5">
    <w:abstractNumId w:val="2"/>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4026A"/>
    <w:rsid w:val="000D590D"/>
    <w:rsid w:val="000D7C4D"/>
    <w:rsid w:val="000E009D"/>
    <w:rsid w:val="00123E2E"/>
    <w:rsid w:val="001752C7"/>
    <w:rsid w:val="0020239B"/>
    <w:rsid w:val="0027447D"/>
    <w:rsid w:val="003730EB"/>
    <w:rsid w:val="003D27FD"/>
    <w:rsid w:val="003E15B5"/>
    <w:rsid w:val="00463DFE"/>
    <w:rsid w:val="00530462"/>
    <w:rsid w:val="005357C5"/>
    <w:rsid w:val="00537153"/>
    <w:rsid w:val="00573B90"/>
    <w:rsid w:val="005C021D"/>
    <w:rsid w:val="0065013E"/>
    <w:rsid w:val="00680D3D"/>
    <w:rsid w:val="006C1240"/>
    <w:rsid w:val="006E03E9"/>
    <w:rsid w:val="007503E8"/>
    <w:rsid w:val="007A607C"/>
    <w:rsid w:val="00805AF1"/>
    <w:rsid w:val="00892D0F"/>
    <w:rsid w:val="0089546D"/>
    <w:rsid w:val="0094605A"/>
    <w:rsid w:val="009B109E"/>
    <w:rsid w:val="009B7A05"/>
    <w:rsid w:val="00A47F8C"/>
    <w:rsid w:val="00A972CE"/>
    <w:rsid w:val="00AC0C95"/>
    <w:rsid w:val="00AC12B7"/>
    <w:rsid w:val="00B33446"/>
    <w:rsid w:val="00B954C0"/>
    <w:rsid w:val="00BA7FAF"/>
    <w:rsid w:val="00C42ECA"/>
    <w:rsid w:val="00C831DC"/>
    <w:rsid w:val="00D44E7C"/>
    <w:rsid w:val="00D605CB"/>
    <w:rsid w:val="00D9096B"/>
    <w:rsid w:val="00EB3E6B"/>
    <w:rsid w:val="00EC7CF9"/>
    <w:rsid w:val="00F7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E7B63EA"/>
  <w15:docId w15:val="{AE85241C-A4B1-4822-A71D-1021B0F5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B33446"/>
    <w:rPr>
      <w:color w:val="0000FF" w:themeColor="hyperlink"/>
      <w:u w:val="single"/>
    </w:rPr>
  </w:style>
  <w:style w:type="paragraph" w:styleId="BodyText">
    <w:name w:val="Body Text"/>
    <w:basedOn w:val="Normal"/>
    <w:link w:val="BodyTextChar"/>
    <w:rsid w:val="00B33446"/>
    <w:pPr>
      <w:spacing w:after="0" w:line="240" w:lineRule="auto"/>
      <w:jc w:val="center"/>
    </w:pPr>
    <w:rPr>
      <w:rFonts w:eastAsia="Times New Roman" w:cs="Times New Roman"/>
      <w:b/>
      <w:i/>
      <w:sz w:val="32"/>
      <w:szCs w:val="20"/>
    </w:rPr>
  </w:style>
  <w:style w:type="character" w:customStyle="1" w:styleId="BodyTextChar">
    <w:name w:val="Body Text Char"/>
    <w:basedOn w:val="DefaultParagraphFont"/>
    <w:link w:val="BodyText"/>
    <w:rsid w:val="00B33446"/>
    <w:rPr>
      <w:rFonts w:ascii="Times New Roman" w:eastAsia="Times New Roman" w:hAnsi="Times New Roman" w:cs="Times New Roman"/>
      <w:b/>
      <w:i/>
      <w:sz w:val="32"/>
      <w:szCs w:val="20"/>
    </w:rPr>
  </w:style>
  <w:style w:type="paragraph" w:styleId="NormalWeb">
    <w:name w:val="Normal (Web)"/>
    <w:basedOn w:val="Normal"/>
    <w:uiPriority w:val="99"/>
    <w:unhideWhenUsed/>
    <w:rsid w:val="00B33446"/>
    <w:pPr>
      <w:spacing w:after="192" w:line="240" w:lineRule="auto"/>
    </w:pPr>
    <w:rPr>
      <w:rFonts w:eastAsia="Times New Roman" w:cs="Times New Roman"/>
      <w:szCs w:val="24"/>
    </w:rPr>
  </w:style>
  <w:style w:type="character" w:styleId="CommentReference">
    <w:name w:val="annotation reference"/>
    <w:basedOn w:val="DefaultParagraphFont"/>
    <w:uiPriority w:val="99"/>
    <w:semiHidden/>
    <w:unhideWhenUsed/>
    <w:rsid w:val="00D44E7C"/>
    <w:rPr>
      <w:sz w:val="16"/>
      <w:szCs w:val="16"/>
    </w:rPr>
  </w:style>
  <w:style w:type="paragraph" w:styleId="CommentText">
    <w:name w:val="annotation text"/>
    <w:basedOn w:val="Normal"/>
    <w:link w:val="CommentTextChar"/>
    <w:uiPriority w:val="99"/>
    <w:semiHidden/>
    <w:unhideWhenUsed/>
    <w:rsid w:val="00D44E7C"/>
    <w:pPr>
      <w:spacing w:line="240" w:lineRule="auto"/>
    </w:pPr>
    <w:rPr>
      <w:sz w:val="20"/>
      <w:szCs w:val="20"/>
    </w:rPr>
  </w:style>
  <w:style w:type="character" w:customStyle="1" w:styleId="CommentTextChar">
    <w:name w:val="Comment Text Char"/>
    <w:basedOn w:val="DefaultParagraphFont"/>
    <w:link w:val="CommentText"/>
    <w:uiPriority w:val="99"/>
    <w:semiHidden/>
    <w:rsid w:val="00D44E7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44E7C"/>
    <w:rPr>
      <w:b/>
      <w:bCs/>
    </w:rPr>
  </w:style>
  <w:style w:type="character" w:customStyle="1" w:styleId="CommentSubjectChar">
    <w:name w:val="Comment Subject Char"/>
    <w:basedOn w:val="CommentTextChar"/>
    <w:link w:val="CommentSubject"/>
    <w:uiPriority w:val="99"/>
    <w:semiHidden/>
    <w:rsid w:val="00D44E7C"/>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aw.lis.virginia.gov/vacode/title22.1/chapter15/section22.1-305.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lis.virginia.gov/vacode/title22.1/chapter15/section22.1-298.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aw.lis.virginia.gov/admincode/title8/agency20/chapter23/section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title22.1/chapter15/section22.1-298.1/" TargetMode="External"/><Relationship Id="rId5" Type="http://schemas.openxmlformats.org/officeDocument/2006/relationships/webSettings" Target="webSettings.xml"/><Relationship Id="rId15" Type="http://schemas.openxmlformats.org/officeDocument/2006/relationships/hyperlink" Target="https://law.lis.virginia.gov/admincode/title8/agency20/chapter23/section40/" TargetMode="External"/><Relationship Id="rId10" Type="http://schemas.openxmlformats.org/officeDocument/2006/relationships/hyperlink" Target="https://www.ets.org/s/praxis/pdf/5442.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Patty.Pitts@doe.virginia.gov" TargetMode="External"/><Relationship Id="rId14" Type="http://schemas.openxmlformats.org/officeDocument/2006/relationships/hyperlink" Target="https://law.lis.virginia.gov/admincode/title8/agency20/chapter2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3BACD-29A9-4877-BB4A-6544B7353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2</cp:revision>
  <cp:lastPrinted>2017-10-02T20:08:00Z</cp:lastPrinted>
  <dcterms:created xsi:type="dcterms:W3CDTF">2021-01-19T19:37:00Z</dcterms:created>
  <dcterms:modified xsi:type="dcterms:W3CDTF">2021-01-19T19:37:00Z</dcterms:modified>
</cp:coreProperties>
</file>