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8"/>
        <w:gridCol w:w="4988"/>
        <w:gridCol w:w="4990"/>
      </w:tblGrid>
      <w:tr w:rsidR="00B76C9B" w:rsidRPr="009722CB" w:rsidTr="00B76C9B">
        <w:trPr>
          <w:trHeight w:val="1297"/>
        </w:trPr>
        <w:tc>
          <w:tcPr>
            <w:tcW w:w="4988" w:type="dxa"/>
            <w:shd w:val="clear" w:color="auto" w:fill="BFBFBF"/>
          </w:tcPr>
          <w:p w:rsidR="00B76C9B" w:rsidRPr="009722CB" w:rsidRDefault="00B76C9B" w:rsidP="00B76C9B">
            <w:pPr>
              <w:jc w:val="center"/>
              <w:rPr>
                <w:b/>
                <w:sz w:val="28"/>
                <w:szCs w:val="28"/>
              </w:rPr>
            </w:pPr>
            <w:bookmarkStart w:id="0" w:name="_GoBack"/>
            <w:bookmarkEnd w:id="0"/>
            <w:r w:rsidRPr="009722CB">
              <w:rPr>
                <w:b/>
                <w:sz w:val="28"/>
                <w:szCs w:val="28"/>
              </w:rPr>
              <w:t xml:space="preserve">Diagnostic Assessment </w:t>
            </w:r>
          </w:p>
          <w:p w:rsidR="00B76C9B" w:rsidRPr="009722CB" w:rsidRDefault="00B76C9B" w:rsidP="00B76C9B">
            <w:pPr>
              <w:jc w:val="center"/>
              <w:rPr>
                <w:b/>
              </w:rPr>
            </w:pPr>
            <w:r w:rsidRPr="009722CB">
              <w:t xml:space="preserve">determines student areas of strength and academic need </w:t>
            </w:r>
            <w:r w:rsidRPr="009722CB">
              <w:rPr>
                <w:b/>
              </w:rPr>
              <w:t>prior to instruction</w:t>
            </w:r>
          </w:p>
          <w:p w:rsidR="00B76C9B" w:rsidRPr="009722CB" w:rsidRDefault="00B76C9B" w:rsidP="00B76C9B">
            <w:pPr>
              <w:jc w:val="center"/>
              <w:rPr>
                <w:b/>
              </w:rPr>
            </w:pPr>
            <w:r w:rsidRPr="009722CB">
              <w:rPr>
                <w:b/>
              </w:rPr>
              <w:t>Assessment “before” learning</w:t>
            </w:r>
          </w:p>
        </w:tc>
        <w:tc>
          <w:tcPr>
            <w:tcW w:w="4988" w:type="dxa"/>
            <w:shd w:val="clear" w:color="auto" w:fill="BFBFBF"/>
          </w:tcPr>
          <w:p w:rsidR="00B76C9B" w:rsidRPr="009722CB" w:rsidRDefault="00B76C9B" w:rsidP="00B76C9B">
            <w:pPr>
              <w:jc w:val="center"/>
              <w:rPr>
                <w:b/>
              </w:rPr>
            </w:pPr>
            <w:r w:rsidRPr="009722CB">
              <w:rPr>
                <w:b/>
                <w:sz w:val="28"/>
                <w:szCs w:val="28"/>
              </w:rPr>
              <w:t>Formative Assessment</w:t>
            </w:r>
          </w:p>
          <w:p w:rsidR="00B76C9B" w:rsidRPr="00CD68AF" w:rsidRDefault="00B76C9B" w:rsidP="00B76C9B">
            <w:pPr>
              <w:jc w:val="center"/>
              <w:rPr>
                <w:rFonts w:asciiTheme="minorHAnsi" w:hAnsiTheme="minorHAnsi" w:cstheme="minorHAnsi"/>
              </w:rPr>
            </w:pPr>
            <w:r w:rsidRPr="00CD68AF">
              <w:rPr>
                <w:rFonts w:asciiTheme="minorHAnsi" w:hAnsiTheme="minorHAnsi" w:cstheme="minorHAnsi"/>
              </w:rPr>
              <w:t xml:space="preserve">a process or assessment designed to intentionally collect information about the nature or degree of student learning during instruction, providing feedback to teachers and students and allowing for teachers and students to make instructional decisions (adjustments and modifications). </w:t>
            </w:r>
          </w:p>
          <w:p w:rsidR="00B76C9B" w:rsidRPr="00CD68AF" w:rsidRDefault="00B76C9B" w:rsidP="00004F12">
            <w:pPr>
              <w:jc w:val="center"/>
              <w:rPr>
                <w:rFonts w:ascii="Georgia" w:hAnsi="Georgia"/>
                <w:sz w:val="20"/>
                <w:szCs w:val="20"/>
              </w:rPr>
            </w:pPr>
            <w:r w:rsidRPr="00CD68AF">
              <w:rPr>
                <w:rFonts w:asciiTheme="minorHAnsi" w:hAnsiTheme="minorHAnsi" w:cstheme="minorHAnsi"/>
                <w:b/>
              </w:rPr>
              <w:t>Assessment “for” learning</w:t>
            </w:r>
          </w:p>
        </w:tc>
        <w:tc>
          <w:tcPr>
            <w:tcW w:w="4990" w:type="dxa"/>
            <w:shd w:val="clear" w:color="auto" w:fill="BFBFBF"/>
          </w:tcPr>
          <w:p w:rsidR="00B76C9B" w:rsidRPr="009722CB" w:rsidRDefault="00B76C9B" w:rsidP="00B76C9B">
            <w:pPr>
              <w:jc w:val="center"/>
              <w:rPr>
                <w:b/>
                <w:sz w:val="28"/>
                <w:szCs w:val="28"/>
              </w:rPr>
            </w:pPr>
            <w:r w:rsidRPr="009722CB">
              <w:rPr>
                <w:b/>
                <w:sz w:val="28"/>
                <w:szCs w:val="28"/>
              </w:rPr>
              <w:t>Summative Assessment</w:t>
            </w:r>
          </w:p>
          <w:p w:rsidR="00B76C9B" w:rsidRPr="00CD68AF" w:rsidRDefault="00B76C9B" w:rsidP="00B76C9B">
            <w:pPr>
              <w:jc w:val="center"/>
              <w:rPr>
                <w:rFonts w:asciiTheme="minorHAnsi" w:hAnsiTheme="minorHAnsi" w:cstheme="minorHAnsi"/>
              </w:rPr>
            </w:pPr>
            <w:r w:rsidRPr="00CD68AF">
              <w:rPr>
                <w:rFonts w:asciiTheme="minorHAnsi" w:hAnsiTheme="minorHAnsi" w:cstheme="minorHAnsi"/>
              </w:rPr>
              <w:t>used to evaluate student learning, skill acquisition, and academic achievement at the conclusion of a unit, project, course, semester, program, or school year. Typically, summative assessments are comprehensive and representative of a set of knowledge and skills, and associated with high-stakes decisions</w:t>
            </w:r>
            <w:r>
              <w:rPr>
                <w:rFonts w:asciiTheme="minorHAnsi" w:hAnsiTheme="minorHAnsi" w:cstheme="minorHAnsi"/>
              </w:rPr>
              <w:t>.</w:t>
            </w:r>
          </w:p>
          <w:p w:rsidR="00B76C9B" w:rsidRPr="00CD68AF" w:rsidRDefault="00004F12" w:rsidP="00B76C9B">
            <w:pPr>
              <w:jc w:val="center"/>
              <w:rPr>
                <w:b/>
              </w:rPr>
            </w:pPr>
            <w:r>
              <w:rPr>
                <w:rFonts w:asciiTheme="minorHAnsi" w:hAnsiTheme="minorHAnsi" w:cstheme="minorHAnsi"/>
                <w:b/>
              </w:rPr>
              <w:t>Assessment “of” learning</w:t>
            </w:r>
          </w:p>
        </w:tc>
      </w:tr>
      <w:tr w:rsidR="00A2627D" w:rsidRPr="009722CB" w:rsidTr="00B76C9B">
        <w:trPr>
          <w:trHeight w:val="1373"/>
        </w:trPr>
        <w:tc>
          <w:tcPr>
            <w:tcW w:w="4988" w:type="dxa"/>
          </w:tcPr>
          <w:p w:rsidR="008F7292" w:rsidRDefault="008F7292" w:rsidP="008F7292">
            <w:pPr>
              <w:pStyle w:val="NormalWeb"/>
              <w:spacing w:before="0" w:beforeAutospacing="0" w:after="0" w:afterAutospacing="0"/>
              <w:rPr>
                <w:rFonts w:asciiTheme="minorHAnsi" w:hAnsiTheme="minorHAnsi"/>
                <w:b/>
                <w:sz w:val="22"/>
                <w:szCs w:val="22"/>
              </w:rPr>
            </w:pPr>
            <w:r w:rsidRPr="00C92399">
              <w:rPr>
                <w:rFonts w:asciiTheme="minorHAnsi" w:hAnsiTheme="minorHAnsi"/>
                <w:b/>
                <w:sz w:val="22"/>
                <w:szCs w:val="22"/>
              </w:rPr>
              <w:t>Anticipation Guide</w:t>
            </w:r>
          </w:p>
          <w:p w:rsidR="008F7292" w:rsidRPr="00C92399" w:rsidRDefault="008F7292" w:rsidP="008F7292">
            <w:pPr>
              <w:pStyle w:val="NormalWeb"/>
              <w:spacing w:before="0" w:beforeAutospacing="0" w:after="0" w:afterAutospacing="0"/>
              <w:rPr>
                <w:rFonts w:asciiTheme="minorHAnsi" w:hAnsiTheme="minorHAnsi"/>
                <w:b/>
                <w:sz w:val="22"/>
                <w:szCs w:val="22"/>
              </w:rPr>
            </w:pPr>
            <w:r w:rsidRPr="00D818B0">
              <w:rPr>
                <w:rFonts w:ascii="Georgia" w:hAnsi="Georgia"/>
                <w:sz w:val="16"/>
                <w:szCs w:val="16"/>
              </w:rPr>
              <w:t xml:space="preserve">An anticipation guide consists of a list of statements that are related to the topic of the text your students will be learning. Before </w:t>
            </w:r>
            <w:r>
              <w:rPr>
                <w:rFonts w:ascii="Georgia" w:hAnsi="Georgia"/>
                <w:sz w:val="16"/>
                <w:szCs w:val="16"/>
              </w:rPr>
              <w:t>learning</w:t>
            </w:r>
            <w:r w:rsidRPr="00D818B0">
              <w:rPr>
                <w:rFonts w:ascii="Georgia" w:hAnsi="Georgia"/>
                <w:sz w:val="16"/>
                <w:szCs w:val="16"/>
              </w:rPr>
              <w:t>, students indicate for each statement whether they agree or disagree with it.</w:t>
            </w:r>
          </w:p>
          <w:p w:rsidR="00A2627D" w:rsidRPr="009722CB" w:rsidRDefault="00A2627D" w:rsidP="00C92399">
            <w:pPr>
              <w:rPr>
                <w:b/>
              </w:rPr>
            </w:pPr>
          </w:p>
        </w:tc>
        <w:tc>
          <w:tcPr>
            <w:tcW w:w="4988" w:type="dxa"/>
          </w:tcPr>
          <w:p w:rsidR="005E4AA2" w:rsidRDefault="005E4AA2" w:rsidP="005E4AA2">
            <w:pPr>
              <w:pStyle w:val="NormalWeb"/>
              <w:spacing w:before="0" w:beforeAutospacing="0" w:after="0" w:afterAutospacing="0"/>
              <w:rPr>
                <w:b/>
              </w:rPr>
            </w:pPr>
            <w:r w:rsidRPr="00C92399">
              <w:rPr>
                <w:rFonts w:asciiTheme="minorHAnsi" w:hAnsiTheme="minorHAnsi"/>
                <w:b/>
                <w:sz w:val="22"/>
                <w:szCs w:val="22"/>
              </w:rPr>
              <w:t>Placemat Consensus</w:t>
            </w:r>
            <w:r w:rsidRPr="009722CB">
              <w:rPr>
                <w:b/>
              </w:rPr>
              <w:t xml:space="preserve"> </w:t>
            </w:r>
          </w:p>
          <w:p w:rsidR="005E4AA2" w:rsidRPr="00D818B0" w:rsidRDefault="005E4AA2" w:rsidP="005E4AA2">
            <w:pPr>
              <w:pStyle w:val="NormalWeb"/>
              <w:spacing w:before="0" w:beforeAutospacing="0" w:after="0" w:afterAutospacing="0"/>
              <w:rPr>
                <w:rFonts w:ascii="Georgia" w:hAnsi="Georgia"/>
                <w:sz w:val="16"/>
                <w:szCs w:val="16"/>
              </w:rPr>
            </w:pPr>
            <w:r>
              <w:rPr>
                <w:rFonts w:ascii="Georgia" w:hAnsi="Georgia"/>
                <w:sz w:val="16"/>
                <w:szCs w:val="16"/>
              </w:rPr>
              <w:t xml:space="preserve">Up to four students are grouped together. Each student works in his corner of the placemat to solve a problem provided by the teacher.  Students then discuss their solutions and use consensus to write down an answer. </w:t>
            </w:r>
          </w:p>
          <w:p w:rsidR="00A2627D" w:rsidRPr="009722CB" w:rsidRDefault="00A2627D">
            <w:pPr>
              <w:rPr>
                <w:b/>
              </w:rPr>
            </w:pPr>
          </w:p>
        </w:tc>
        <w:tc>
          <w:tcPr>
            <w:tcW w:w="4990" w:type="dxa"/>
          </w:tcPr>
          <w:p w:rsidR="005E4AA2" w:rsidRDefault="005E4AA2" w:rsidP="005E4AA2">
            <w:pPr>
              <w:pStyle w:val="NormalWeb"/>
              <w:spacing w:before="0" w:beforeAutospacing="0" w:after="0" w:afterAutospacing="0"/>
              <w:rPr>
                <w:rFonts w:asciiTheme="minorHAnsi" w:hAnsiTheme="minorHAnsi"/>
                <w:sz w:val="22"/>
                <w:szCs w:val="22"/>
              </w:rPr>
            </w:pPr>
            <w:r w:rsidRPr="008F7292">
              <w:rPr>
                <w:rFonts w:asciiTheme="minorHAnsi" w:hAnsiTheme="minorHAnsi"/>
                <w:b/>
                <w:sz w:val="22"/>
                <w:szCs w:val="22"/>
              </w:rPr>
              <w:t>Quizzes</w:t>
            </w:r>
            <w:r>
              <w:rPr>
                <w:rFonts w:asciiTheme="minorHAnsi" w:hAnsiTheme="minorHAnsi"/>
                <w:sz w:val="22"/>
                <w:szCs w:val="22"/>
              </w:rPr>
              <w:t xml:space="preserve"> </w:t>
            </w:r>
          </w:p>
          <w:p w:rsidR="005E4AA2" w:rsidRPr="00D818B0" w:rsidRDefault="005E4AA2" w:rsidP="005E4AA2">
            <w:pPr>
              <w:pStyle w:val="NormalWeb"/>
              <w:spacing w:before="0" w:beforeAutospacing="0" w:after="0" w:afterAutospacing="0"/>
              <w:rPr>
                <w:rFonts w:ascii="Georgia" w:hAnsi="Georgia"/>
                <w:sz w:val="16"/>
                <w:szCs w:val="16"/>
              </w:rPr>
            </w:pPr>
            <w:r>
              <w:rPr>
                <w:rFonts w:ascii="Georgia" w:hAnsi="Georgia"/>
                <w:sz w:val="16"/>
                <w:szCs w:val="16"/>
              </w:rPr>
              <w:t>Quizzes may include a variety of prompts, such as multiple choice, short answer, and constructed response.   Feedback is always important along with providing students the chance for revision of classroom assessments.</w:t>
            </w:r>
          </w:p>
          <w:p w:rsidR="00A2627D" w:rsidRPr="009722CB" w:rsidRDefault="00A2627D" w:rsidP="00152370"/>
        </w:tc>
      </w:tr>
      <w:tr w:rsidR="00A2627D" w:rsidRPr="009722CB" w:rsidTr="00B76C9B">
        <w:trPr>
          <w:trHeight w:val="1373"/>
        </w:trPr>
        <w:tc>
          <w:tcPr>
            <w:tcW w:w="4988" w:type="dxa"/>
          </w:tcPr>
          <w:p w:rsidR="005E4AA2" w:rsidRPr="009722CB" w:rsidRDefault="005E4AA2" w:rsidP="005E4AA2">
            <w:pPr>
              <w:rPr>
                <w:b/>
              </w:rPr>
            </w:pPr>
            <w:r>
              <w:rPr>
                <w:b/>
              </w:rPr>
              <w:t>E</w:t>
            </w:r>
            <w:r w:rsidRPr="009722CB">
              <w:rPr>
                <w:b/>
              </w:rPr>
              <w:t>ntrance Ticket</w:t>
            </w:r>
          </w:p>
          <w:p w:rsidR="005E4AA2" w:rsidRPr="00D818B0" w:rsidRDefault="005E4AA2" w:rsidP="005E4AA2">
            <w:pPr>
              <w:pStyle w:val="NormalWeb"/>
              <w:spacing w:before="0" w:beforeAutospacing="0" w:after="0" w:afterAutospacing="0"/>
              <w:rPr>
                <w:rFonts w:ascii="Georgia" w:hAnsi="Georgia"/>
                <w:sz w:val="16"/>
                <w:szCs w:val="16"/>
              </w:rPr>
            </w:pPr>
            <w:r>
              <w:rPr>
                <w:rFonts w:ascii="Georgia" w:hAnsi="Georgia"/>
                <w:sz w:val="16"/>
                <w:szCs w:val="16"/>
              </w:rPr>
              <w:t>A question is posed to students about the essential core understandings to be discussed during the day’s lesson.  Responses can be reviewed quickly by the teacher to allow for adjustment of instruction.</w:t>
            </w:r>
          </w:p>
          <w:p w:rsidR="00A2627D" w:rsidRPr="009722CB" w:rsidRDefault="00A2627D">
            <w:pPr>
              <w:rPr>
                <w:b/>
              </w:rPr>
            </w:pPr>
          </w:p>
        </w:tc>
        <w:tc>
          <w:tcPr>
            <w:tcW w:w="4988" w:type="dxa"/>
          </w:tcPr>
          <w:p w:rsidR="005E4AA2" w:rsidRDefault="005E4AA2" w:rsidP="005E4AA2">
            <w:pPr>
              <w:pStyle w:val="NormalWeb"/>
              <w:spacing w:before="0" w:beforeAutospacing="0" w:after="0" w:afterAutospacing="0"/>
              <w:rPr>
                <w:rFonts w:ascii="Georgia" w:hAnsi="Georgia"/>
                <w:sz w:val="16"/>
                <w:szCs w:val="16"/>
              </w:rPr>
            </w:pPr>
            <w:r w:rsidRPr="005E4AA2">
              <w:rPr>
                <w:rFonts w:asciiTheme="minorHAnsi" w:hAnsiTheme="minorHAnsi"/>
                <w:b/>
                <w:sz w:val="22"/>
                <w:szCs w:val="22"/>
              </w:rPr>
              <w:t>Exit Ticket</w:t>
            </w:r>
            <w:r>
              <w:rPr>
                <w:rFonts w:ascii="Georgia" w:hAnsi="Georgia"/>
                <w:sz w:val="16"/>
                <w:szCs w:val="16"/>
              </w:rPr>
              <w:t xml:space="preserve"> </w:t>
            </w:r>
          </w:p>
          <w:p w:rsidR="005E4AA2" w:rsidRPr="00D818B0" w:rsidRDefault="005E4AA2" w:rsidP="005E4AA2">
            <w:pPr>
              <w:pStyle w:val="NormalWeb"/>
              <w:spacing w:before="0" w:beforeAutospacing="0" w:after="0" w:afterAutospacing="0"/>
              <w:rPr>
                <w:rFonts w:ascii="Georgia" w:hAnsi="Georgia"/>
                <w:sz w:val="16"/>
                <w:szCs w:val="16"/>
              </w:rPr>
            </w:pPr>
            <w:r>
              <w:rPr>
                <w:rFonts w:ascii="Georgia" w:hAnsi="Georgia"/>
                <w:sz w:val="16"/>
                <w:szCs w:val="16"/>
              </w:rPr>
              <w:t>A question is posed to students about the essential core understandings that were discussed during the day’s lesson.  Responses can be reviewed by the teacher to allow for adjustment of upcoming instruction.</w:t>
            </w:r>
          </w:p>
          <w:p w:rsidR="00A2627D" w:rsidRPr="009722CB" w:rsidRDefault="00A2627D">
            <w:pPr>
              <w:rPr>
                <w:b/>
              </w:rPr>
            </w:pPr>
          </w:p>
        </w:tc>
        <w:tc>
          <w:tcPr>
            <w:tcW w:w="4990" w:type="dxa"/>
          </w:tcPr>
          <w:p w:rsidR="005E4AA2" w:rsidRDefault="005E4AA2" w:rsidP="005E4AA2">
            <w:pPr>
              <w:pStyle w:val="NormalWeb"/>
              <w:spacing w:before="0" w:beforeAutospacing="0" w:after="0" w:afterAutospacing="0"/>
              <w:rPr>
                <w:rFonts w:ascii="Georgia" w:hAnsi="Georgia"/>
                <w:sz w:val="16"/>
                <w:szCs w:val="16"/>
              </w:rPr>
            </w:pPr>
            <w:r w:rsidRPr="005E4AA2">
              <w:rPr>
                <w:rFonts w:asciiTheme="minorHAnsi" w:hAnsiTheme="minorHAnsi"/>
                <w:b/>
                <w:sz w:val="22"/>
                <w:szCs w:val="22"/>
              </w:rPr>
              <w:t>Tests</w:t>
            </w:r>
            <w:r w:rsidRPr="005E4AA2">
              <w:rPr>
                <w:rFonts w:ascii="Georgia" w:hAnsi="Georgia"/>
                <w:sz w:val="16"/>
                <w:szCs w:val="16"/>
              </w:rPr>
              <w:t xml:space="preserve"> </w:t>
            </w:r>
          </w:p>
          <w:p w:rsidR="005E4AA2" w:rsidRPr="00D818B0" w:rsidRDefault="005E4AA2" w:rsidP="005E4AA2">
            <w:pPr>
              <w:pStyle w:val="NormalWeb"/>
              <w:spacing w:before="0" w:beforeAutospacing="0" w:after="0" w:afterAutospacing="0"/>
              <w:rPr>
                <w:rFonts w:ascii="Georgia" w:hAnsi="Georgia"/>
                <w:sz w:val="16"/>
                <w:szCs w:val="16"/>
              </w:rPr>
            </w:pPr>
            <w:r>
              <w:rPr>
                <w:rFonts w:ascii="Georgia" w:hAnsi="Georgia"/>
                <w:sz w:val="16"/>
                <w:szCs w:val="16"/>
              </w:rPr>
              <w:t>Tests may include a variety of prompts such as multiple choice, short answer and constructed response.   Feedback is always important along with providing students the chance for revision of classroom assessments.</w:t>
            </w:r>
          </w:p>
          <w:p w:rsidR="00A2627D" w:rsidRPr="009722CB" w:rsidRDefault="00A2627D" w:rsidP="00152370">
            <w:r w:rsidRPr="009722CB">
              <w:t xml:space="preserve"> </w:t>
            </w:r>
          </w:p>
        </w:tc>
      </w:tr>
      <w:tr w:rsidR="00A2627D" w:rsidRPr="009722CB" w:rsidTr="00B76C9B">
        <w:trPr>
          <w:trHeight w:val="1373"/>
        </w:trPr>
        <w:tc>
          <w:tcPr>
            <w:tcW w:w="4988" w:type="dxa"/>
          </w:tcPr>
          <w:p w:rsidR="005E4AA2" w:rsidRDefault="005E4AA2" w:rsidP="005E4AA2">
            <w:pPr>
              <w:pStyle w:val="NormalWeb"/>
              <w:spacing w:before="0" w:beforeAutospacing="0" w:after="0" w:afterAutospacing="0"/>
              <w:rPr>
                <w:rFonts w:ascii="Georgia" w:hAnsi="Georgia"/>
                <w:sz w:val="16"/>
                <w:szCs w:val="16"/>
              </w:rPr>
            </w:pPr>
            <w:r w:rsidRPr="005E4AA2">
              <w:rPr>
                <w:rFonts w:asciiTheme="minorHAnsi" w:hAnsiTheme="minorHAnsi"/>
                <w:b/>
                <w:sz w:val="22"/>
                <w:szCs w:val="22"/>
              </w:rPr>
              <w:t>Diagnostic Test or Quiz</w:t>
            </w:r>
            <w:r>
              <w:rPr>
                <w:rFonts w:ascii="Georgia" w:hAnsi="Georgia"/>
                <w:sz w:val="16"/>
                <w:szCs w:val="16"/>
              </w:rPr>
              <w:t xml:space="preserve"> </w:t>
            </w:r>
          </w:p>
          <w:p w:rsidR="005E4AA2" w:rsidRPr="00D818B0" w:rsidRDefault="005E4AA2" w:rsidP="005E4AA2">
            <w:pPr>
              <w:pStyle w:val="NormalWeb"/>
              <w:spacing w:before="0" w:beforeAutospacing="0" w:after="0" w:afterAutospacing="0"/>
              <w:rPr>
                <w:rFonts w:ascii="Georgia" w:hAnsi="Georgia"/>
                <w:sz w:val="16"/>
                <w:szCs w:val="16"/>
              </w:rPr>
            </w:pPr>
            <w:r>
              <w:rPr>
                <w:rFonts w:ascii="Georgia" w:hAnsi="Georgia"/>
                <w:sz w:val="16"/>
                <w:szCs w:val="16"/>
              </w:rPr>
              <w:t>Quizzes and tests may include a variety of prompts such as multiple choice, short answer, and constructed response.   Teachers can use the assessments to make instructional decisions.</w:t>
            </w:r>
          </w:p>
          <w:p w:rsidR="00A2627D" w:rsidRPr="009722CB" w:rsidRDefault="00A2627D" w:rsidP="00616E76">
            <w:pPr>
              <w:rPr>
                <w:b/>
              </w:rPr>
            </w:pPr>
          </w:p>
        </w:tc>
        <w:tc>
          <w:tcPr>
            <w:tcW w:w="4988" w:type="dxa"/>
          </w:tcPr>
          <w:p w:rsidR="005E4AA2" w:rsidRPr="005E4AA2" w:rsidRDefault="005E4AA2" w:rsidP="005E4AA2">
            <w:pPr>
              <w:rPr>
                <w:b/>
              </w:rPr>
            </w:pPr>
            <w:r w:rsidRPr="005E4AA2">
              <w:rPr>
                <w:b/>
              </w:rPr>
              <w:t>Student Dialog and Discussion (Think-Pair-Share)</w:t>
            </w:r>
          </w:p>
          <w:p w:rsidR="005E4AA2" w:rsidRPr="00E71CD7" w:rsidRDefault="005E4AA2" w:rsidP="005E4AA2">
            <w:pPr>
              <w:pStyle w:val="NormalWeb"/>
              <w:spacing w:before="0" w:beforeAutospacing="0" w:after="0" w:afterAutospacing="0"/>
              <w:rPr>
                <w:sz w:val="15"/>
                <w:szCs w:val="15"/>
              </w:rPr>
            </w:pPr>
            <w:r w:rsidRPr="00E71CD7">
              <w:rPr>
                <w:rFonts w:ascii="Georgia" w:hAnsi="Georgia" w:cs="Arial"/>
                <w:sz w:val="15"/>
                <w:szCs w:val="15"/>
              </w:rPr>
              <w:t xml:space="preserve">Discussion provides opportunities for students to discuss in pairs, small groups, teams or as a whole class </w:t>
            </w:r>
            <w:r>
              <w:rPr>
                <w:rFonts w:ascii="Georgia" w:hAnsi="Georgia" w:cs="Arial"/>
                <w:sz w:val="15"/>
                <w:szCs w:val="15"/>
              </w:rPr>
              <w:t>to help</w:t>
            </w:r>
            <w:r w:rsidRPr="00E71CD7">
              <w:rPr>
                <w:rFonts w:ascii="Georgia" w:hAnsi="Georgia" w:cs="Arial"/>
                <w:sz w:val="15"/>
                <w:szCs w:val="15"/>
              </w:rPr>
              <w:t xml:space="preserve"> clarify their understanding.</w:t>
            </w:r>
            <w:r>
              <w:rPr>
                <w:rFonts w:ascii="Georgia" w:hAnsi="Georgia" w:cs="Arial"/>
                <w:sz w:val="15"/>
                <w:szCs w:val="15"/>
              </w:rPr>
              <w:t xml:space="preserve"> </w:t>
            </w:r>
            <w:r w:rsidRPr="00E71CD7">
              <w:rPr>
                <w:rFonts w:ascii="Georgia" w:hAnsi="Georgia"/>
                <w:sz w:val="15"/>
                <w:szCs w:val="15"/>
              </w:rPr>
              <w:t>In a Think-Pair-Share, student are provided a question to think about independently and then told to pair up with another student and share their thoughts or solution.</w:t>
            </w:r>
          </w:p>
          <w:p w:rsidR="00A2627D" w:rsidRPr="009722CB" w:rsidRDefault="00A2627D" w:rsidP="00AD713C"/>
        </w:tc>
        <w:tc>
          <w:tcPr>
            <w:tcW w:w="4990" w:type="dxa"/>
          </w:tcPr>
          <w:p w:rsidR="005E4AA2" w:rsidRDefault="005E4AA2" w:rsidP="005E4AA2">
            <w:pPr>
              <w:rPr>
                <w:b/>
              </w:rPr>
            </w:pPr>
            <w:r w:rsidRPr="009722CB">
              <w:rPr>
                <w:b/>
              </w:rPr>
              <w:t xml:space="preserve">Performance Assessment </w:t>
            </w:r>
          </w:p>
          <w:p w:rsidR="005E4AA2" w:rsidRPr="0000442A" w:rsidRDefault="005E4AA2" w:rsidP="005E4AA2">
            <w:pPr>
              <w:rPr>
                <w:rFonts w:ascii="Georgia" w:hAnsi="Georgia"/>
                <w:sz w:val="16"/>
                <w:szCs w:val="16"/>
              </w:rPr>
            </w:pPr>
            <w:r>
              <w:rPr>
                <w:rFonts w:ascii="Georgia" w:hAnsi="Georgia"/>
                <w:sz w:val="16"/>
                <w:szCs w:val="16"/>
              </w:rPr>
              <w:t>G</w:t>
            </w:r>
            <w:r w:rsidRPr="0000442A">
              <w:rPr>
                <w:rFonts w:ascii="Georgia" w:hAnsi="Georgia"/>
                <w:sz w:val="16"/>
                <w:szCs w:val="16"/>
              </w:rPr>
              <w:t xml:space="preserve">enerally requires students to perform a task or create a product and is scored using a rubric or set of criteria. In completing the task, students apply acquired knowledge and skills. </w:t>
            </w:r>
            <w:r>
              <w:rPr>
                <w:rFonts w:ascii="Georgia" w:hAnsi="Georgia"/>
                <w:sz w:val="16"/>
                <w:szCs w:val="16"/>
              </w:rPr>
              <w:t>O</w:t>
            </w:r>
            <w:r w:rsidRPr="0000442A">
              <w:rPr>
                <w:rFonts w:ascii="Georgia" w:hAnsi="Georgia"/>
                <w:sz w:val="16"/>
                <w:szCs w:val="16"/>
              </w:rPr>
              <w:t>ften includes a written component.</w:t>
            </w:r>
          </w:p>
          <w:p w:rsidR="00A2627D" w:rsidRPr="009722CB" w:rsidRDefault="00A2627D" w:rsidP="00616E76">
            <w:pPr>
              <w:rPr>
                <w:b/>
              </w:rPr>
            </w:pPr>
            <w:r w:rsidRPr="009722CB">
              <w:rPr>
                <w:b/>
              </w:rPr>
              <w:t xml:space="preserve"> </w:t>
            </w:r>
          </w:p>
        </w:tc>
      </w:tr>
      <w:tr w:rsidR="00A2627D" w:rsidRPr="009722CB" w:rsidTr="00B76C9B">
        <w:trPr>
          <w:trHeight w:val="1297"/>
        </w:trPr>
        <w:tc>
          <w:tcPr>
            <w:tcW w:w="4988" w:type="dxa"/>
          </w:tcPr>
          <w:p w:rsidR="00446988" w:rsidRDefault="00446988" w:rsidP="00446988">
            <w:pPr>
              <w:pStyle w:val="NormalWeb"/>
              <w:spacing w:before="0" w:beforeAutospacing="0" w:after="0" w:afterAutospacing="0"/>
              <w:rPr>
                <w:rFonts w:asciiTheme="minorHAnsi" w:hAnsiTheme="minorHAnsi"/>
                <w:b/>
                <w:sz w:val="22"/>
                <w:szCs w:val="22"/>
              </w:rPr>
            </w:pPr>
            <w:r w:rsidRPr="00446988">
              <w:rPr>
                <w:rFonts w:asciiTheme="minorHAnsi" w:hAnsiTheme="minorHAnsi"/>
                <w:b/>
                <w:sz w:val="22"/>
                <w:szCs w:val="22"/>
              </w:rPr>
              <w:t>KWL (Know, Want to Know, Learned)</w:t>
            </w:r>
          </w:p>
          <w:p w:rsidR="00446988" w:rsidRPr="00D818B0" w:rsidRDefault="00446988" w:rsidP="00446988">
            <w:pPr>
              <w:pStyle w:val="NormalWeb"/>
              <w:spacing w:before="0" w:beforeAutospacing="0" w:after="0" w:afterAutospacing="0"/>
              <w:rPr>
                <w:rFonts w:ascii="Georgia" w:hAnsi="Georgia"/>
                <w:sz w:val="16"/>
                <w:szCs w:val="16"/>
              </w:rPr>
            </w:pPr>
            <w:r>
              <w:rPr>
                <w:rFonts w:ascii="Georgia" w:hAnsi="Georgia"/>
                <w:sz w:val="16"/>
                <w:szCs w:val="16"/>
              </w:rPr>
              <w:t>A graphical organizer, typically made using a chart or table, that is designed to organize learning.  The KWL is an acronym that stands for “what we know”, “what we want to know”, and “what we learned.”</w:t>
            </w:r>
          </w:p>
          <w:p w:rsidR="00A2627D" w:rsidRPr="009722CB" w:rsidRDefault="00A2627D">
            <w:pPr>
              <w:rPr>
                <w:b/>
              </w:rPr>
            </w:pPr>
          </w:p>
        </w:tc>
        <w:tc>
          <w:tcPr>
            <w:tcW w:w="4988" w:type="dxa"/>
          </w:tcPr>
          <w:p w:rsidR="00A2627D" w:rsidRDefault="0000442A">
            <w:pPr>
              <w:rPr>
                <w:b/>
              </w:rPr>
            </w:pPr>
            <w:r>
              <w:rPr>
                <w:b/>
              </w:rPr>
              <w:t>Performance Task</w:t>
            </w:r>
          </w:p>
          <w:p w:rsidR="0000442A" w:rsidRPr="009722CB" w:rsidRDefault="0000442A">
            <w:pPr>
              <w:rPr>
                <w:b/>
              </w:rPr>
            </w:pPr>
            <w:r w:rsidRPr="0000442A">
              <w:rPr>
                <w:rFonts w:ascii="Georgia" w:hAnsi="Georgia"/>
                <w:sz w:val="16"/>
                <w:szCs w:val="16"/>
              </w:rPr>
              <w:t>a learning activity that requires students to perform a task or create a product to demonstrate their knowledge, understanding and proficiency. Performance tasks occur during the learning process, provide feedback on learning to students and teachers during instruction, and offer opportunities for students to develop skills that may be applied in performance assessments</w:t>
            </w:r>
            <w:r w:rsidRPr="005F7AFA">
              <w:rPr>
                <w:rFonts w:ascii="Times New Roman" w:hAnsi="Times New Roman"/>
                <w:sz w:val="24"/>
                <w:szCs w:val="24"/>
              </w:rPr>
              <w:t>.</w:t>
            </w:r>
          </w:p>
        </w:tc>
        <w:tc>
          <w:tcPr>
            <w:tcW w:w="4990" w:type="dxa"/>
          </w:tcPr>
          <w:p w:rsidR="005E4AA2" w:rsidRDefault="005E4AA2" w:rsidP="005E4AA2">
            <w:pPr>
              <w:rPr>
                <w:rFonts w:ascii="Georgia" w:eastAsia="Times New Roman" w:hAnsi="Georgia"/>
                <w:color w:val="000000"/>
                <w:sz w:val="16"/>
                <w:szCs w:val="16"/>
              </w:rPr>
            </w:pPr>
            <w:r w:rsidRPr="009722CB">
              <w:rPr>
                <w:b/>
              </w:rPr>
              <w:t>Projects</w:t>
            </w:r>
            <w:r>
              <w:rPr>
                <w:rFonts w:ascii="Georgia" w:eastAsia="Times New Roman" w:hAnsi="Georgia"/>
                <w:color w:val="000000"/>
                <w:sz w:val="16"/>
                <w:szCs w:val="16"/>
              </w:rPr>
              <w:t xml:space="preserve"> </w:t>
            </w:r>
          </w:p>
          <w:p w:rsidR="005E4AA2" w:rsidRPr="00307ADC" w:rsidRDefault="005E4AA2" w:rsidP="005E4AA2">
            <w:pPr>
              <w:rPr>
                <w:rFonts w:ascii="Georgia" w:eastAsia="Times New Roman" w:hAnsi="Georgia"/>
                <w:color w:val="000000"/>
                <w:sz w:val="16"/>
                <w:szCs w:val="16"/>
              </w:rPr>
            </w:pPr>
            <w:r>
              <w:rPr>
                <w:rFonts w:ascii="Georgia" w:eastAsia="Times New Roman" w:hAnsi="Georgia"/>
                <w:color w:val="000000"/>
                <w:sz w:val="16"/>
                <w:szCs w:val="16"/>
              </w:rPr>
              <w:t>A project helps students gain better mastery and understanding of content by applying it through creating a product or representation. Projects can be individual or collaborative and should be an opportunity to transfer learning</w:t>
            </w:r>
            <w:r w:rsidRPr="00307ADC">
              <w:rPr>
                <w:rFonts w:ascii="Georgia" w:eastAsia="Times New Roman" w:hAnsi="Georgia"/>
                <w:color w:val="000000"/>
                <w:sz w:val="16"/>
                <w:szCs w:val="16"/>
              </w:rPr>
              <w:t>.</w:t>
            </w:r>
          </w:p>
          <w:p w:rsidR="00A2627D" w:rsidRPr="009722CB" w:rsidRDefault="00A2627D">
            <w:pPr>
              <w:rPr>
                <w:b/>
              </w:rPr>
            </w:pPr>
          </w:p>
        </w:tc>
      </w:tr>
      <w:tr w:rsidR="00A2627D" w:rsidRPr="009722CB" w:rsidTr="00B76C9B">
        <w:trPr>
          <w:trHeight w:val="1297"/>
        </w:trPr>
        <w:tc>
          <w:tcPr>
            <w:tcW w:w="4988" w:type="dxa"/>
          </w:tcPr>
          <w:p w:rsidR="00A2627D" w:rsidRPr="009722CB" w:rsidRDefault="00A2627D" w:rsidP="00316854">
            <w:pPr>
              <w:rPr>
                <w:b/>
              </w:rPr>
            </w:pPr>
          </w:p>
        </w:tc>
        <w:tc>
          <w:tcPr>
            <w:tcW w:w="4988" w:type="dxa"/>
          </w:tcPr>
          <w:p w:rsidR="00A2627D" w:rsidRPr="009722CB" w:rsidRDefault="00A2627D" w:rsidP="0000442A">
            <w:pPr>
              <w:rPr>
                <w:b/>
              </w:rPr>
            </w:pPr>
            <w:r w:rsidRPr="009722CB">
              <w:rPr>
                <w:b/>
              </w:rPr>
              <w:t xml:space="preserve"> </w:t>
            </w:r>
          </w:p>
        </w:tc>
        <w:tc>
          <w:tcPr>
            <w:tcW w:w="4990" w:type="dxa"/>
          </w:tcPr>
          <w:p w:rsidR="005E4AA2" w:rsidRDefault="005E4AA2" w:rsidP="005E4AA2">
            <w:pPr>
              <w:rPr>
                <w:b/>
              </w:rPr>
            </w:pPr>
            <w:r w:rsidRPr="009722CB">
              <w:rPr>
                <w:b/>
              </w:rPr>
              <w:t xml:space="preserve">Knowledge Rating </w:t>
            </w:r>
          </w:p>
          <w:p w:rsidR="005E4AA2" w:rsidRPr="00307ADC" w:rsidRDefault="005E4AA2" w:rsidP="005E4AA2">
            <w:pPr>
              <w:rPr>
                <w:rFonts w:ascii="Georgia" w:eastAsia="Times New Roman" w:hAnsi="Georgia"/>
                <w:color w:val="000000"/>
                <w:sz w:val="16"/>
                <w:szCs w:val="16"/>
              </w:rPr>
            </w:pPr>
            <w:r>
              <w:rPr>
                <w:rFonts w:ascii="Georgia" w:eastAsia="Times New Roman" w:hAnsi="Georgia"/>
                <w:color w:val="000000"/>
                <w:sz w:val="16"/>
                <w:szCs w:val="16"/>
              </w:rPr>
              <w:t>Students are asked to rate their understanding of a vocabulary word or concept after learning a unit of study or topic.  This allows the teacher to determine the level of understanding that students have acquired. Rating may include self-reflection.</w:t>
            </w:r>
          </w:p>
          <w:p w:rsidR="00A2627D" w:rsidRPr="009722CB" w:rsidRDefault="00A2627D" w:rsidP="0000442A">
            <w:pPr>
              <w:rPr>
                <w:b/>
              </w:rPr>
            </w:pPr>
            <w:r w:rsidRPr="009722CB">
              <w:rPr>
                <w:b/>
              </w:rPr>
              <w:t xml:space="preserve"> </w:t>
            </w:r>
          </w:p>
        </w:tc>
      </w:tr>
      <w:tr w:rsidR="00A2627D" w:rsidRPr="009722CB" w:rsidTr="00B76C9B">
        <w:trPr>
          <w:trHeight w:val="1394"/>
        </w:trPr>
        <w:tc>
          <w:tcPr>
            <w:tcW w:w="4988" w:type="dxa"/>
          </w:tcPr>
          <w:p w:rsidR="001C3F24" w:rsidRDefault="001C3F24" w:rsidP="001C3F24">
            <w:pPr>
              <w:rPr>
                <w:rFonts w:ascii="Georgia" w:eastAsia="Times New Roman" w:hAnsi="Georgia"/>
                <w:color w:val="000000"/>
                <w:sz w:val="16"/>
                <w:szCs w:val="16"/>
              </w:rPr>
            </w:pPr>
            <w:r w:rsidRPr="009722CB">
              <w:rPr>
                <w:b/>
              </w:rPr>
              <w:t>Brainstorm Chart</w:t>
            </w:r>
            <w:r>
              <w:rPr>
                <w:rFonts w:ascii="Georgia" w:eastAsia="Times New Roman" w:hAnsi="Georgia"/>
                <w:color w:val="000000"/>
                <w:sz w:val="16"/>
                <w:szCs w:val="16"/>
              </w:rPr>
              <w:t xml:space="preserve"> </w:t>
            </w:r>
          </w:p>
          <w:p w:rsidR="001C3F24" w:rsidRPr="00307ADC" w:rsidRDefault="001C3F24" w:rsidP="001C3F24">
            <w:pPr>
              <w:rPr>
                <w:rFonts w:ascii="Georgia" w:eastAsia="Times New Roman" w:hAnsi="Georgia"/>
                <w:color w:val="000000"/>
                <w:sz w:val="16"/>
                <w:szCs w:val="16"/>
              </w:rPr>
            </w:pPr>
            <w:r>
              <w:rPr>
                <w:rFonts w:ascii="Georgia" w:eastAsia="Times New Roman" w:hAnsi="Georgia"/>
                <w:color w:val="000000"/>
                <w:sz w:val="16"/>
                <w:szCs w:val="16"/>
              </w:rPr>
              <w:t xml:space="preserve">Students are asked generate as many ideas  as they can about a new topic. The teacher or students write them on a chart.  Students then make connections between the ideas to stimulate prior knowledge. </w:t>
            </w:r>
          </w:p>
          <w:p w:rsidR="00A2627D" w:rsidRPr="009722CB" w:rsidRDefault="00A2627D">
            <w:pPr>
              <w:rPr>
                <w:b/>
              </w:rPr>
            </w:pPr>
          </w:p>
        </w:tc>
        <w:tc>
          <w:tcPr>
            <w:tcW w:w="4988" w:type="dxa"/>
          </w:tcPr>
          <w:p w:rsidR="00A2627D" w:rsidRPr="009722CB" w:rsidRDefault="00A2627D" w:rsidP="0000442A"/>
        </w:tc>
        <w:tc>
          <w:tcPr>
            <w:tcW w:w="4990" w:type="dxa"/>
          </w:tcPr>
          <w:p w:rsidR="005E4AA2" w:rsidRDefault="005E4AA2" w:rsidP="005E4AA2">
            <w:pPr>
              <w:pStyle w:val="NormalWeb"/>
              <w:spacing w:before="0" w:beforeAutospacing="0" w:after="0" w:afterAutospacing="0"/>
              <w:rPr>
                <w:rFonts w:asciiTheme="minorHAnsi" w:hAnsiTheme="minorHAnsi"/>
                <w:b/>
                <w:sz w:val="22"/>
                <w:szCs w:val="22"/>
              </w:rPr>
            </w:pPr>
            <w:r w:rsidRPr="005E4AA2">
              <w:rPr>
                <w:rFonts w:asciiTheme="minorHAnsi" w:hAnsiTheme="minorHAnsi"/>
                <w:b/>
                <w:sz w:val="22"/>
                <w:szCs w:val="22"/>
              </w:rPr>
              <w:t>Midterm and Final Exams</w:t>
            </w:r>
          </w:p>
          <w:p w:rsidR="005E4AA2" w:rsidRPr="00D818B0" w:rsidRDefault="005E4AA2" w:rsidP="005E4AA2">
            <w:pPr>
              <w:pStyle w:val="NormalWeb"/>
              <w:spacing w:before="0" w:beforeAutospacing="0" w:after="0" w:afterAutospacing="0"/>
              <w:rPr>
                <w:rFonts w:ascii="Georgia" w:hAnsi="Georgia"/>
                <w:sz w:val="16"/>
                <w:szCs w:val="16"/>
              </w:rPr>
            </w:pPr>
            <w:r>
              <w:rPr>
                <w:rFonts w:ascii="Georgia" w:hAnsi="Georgia"/>
                <w:sz w:val="16"/>
                <w:szCs w:val="16"/>
              </w:rPr>
              <w:t>Exams may include a variety of prompts such as multiple choice, short answer and constructed response.   Feedback is always important along with providing students the chance to reflect and correct their work.</w:t>
            </w:r>
          </w:p>
          <w:p w:rsidR="00A2627D" w:rsidRPr="009722CB" w:rsidRDefault="00A2627D">
            <w:pPr>
              <w:rPr>
                <w:b/>
              </w:rPr>
            </w:pPr>
          </w:p>
        </w:tc>
      </w:tr>
      <w:tr w:rsidR="00316854" w:rsidRPr="009722CB" w:rsidTr="00B76C9B">
        <w:trPr>
          <w:trHeight w:val="1373"/>
        </w:trPr>
        <w:tc>
          <w:tcPr>
            <w:tcW w:w="4988" w:type="dxa"/>
          </w:tcPr>
          <w:p w:rsidR="001C3F24" w:rsidRPr="001C3F24" w:rsidRDefault="001C3F24" w:rsidP="001C3F24">
            <w:pPr>
              <w:pStyle w:val="NormalWeb"/>
              <w:spacing w:before="0" w:beforeAutospacing="0" w:after="0" w:afterAutospacing="0"/>
              <w:rPr>
                <w:rFonts w:asciiTheme="minorHAnsi" w:hAnsiTheme="minorHAnsi"/>
                <w:b/>
                <w:sz w:val="22"/>
                <w:szCs w:val="22"/>
              </w:rPr>
            </w:pPr>
            <w:r w:rsidRPr="001C3F24">
              <w:rPr>
                <w:rFonts w:asciiTheme="minorHAnsi" w:hAnsiTheme="minorHAnsi"/>
                <w:b/>
                <w:sz w:val="22"/>
                <w:szCs w:val="22"/>
              </w:rPr>
              <w:lastRenderedPageBreak/>
              <w:t xml:space="preserve">Student Response Cards </w:t>
            </w:r>
          </w:p>
          <w:p w:rsidR="00316854" w:rsidRPr="009722CB" w:rsidRDefault="001C3F24" w:rsidP="001C3F24">
            <w:pPr>
              <w:pStyle w:val="NormalWeb"/>
              <w:spacing w:before="0" w:beforeAutospacing="0" w:after="0" w:afterAutospacing="0"/>
              <w:rPr>
                <w:b/>
              </w:rPr>
            </w:pPr>
            <w:r>
              <w:rPr>
                <w:rFonts w:ascii="Georgia" w:hAnsi="Georgia"/>
                <w:sz w:val="16"/>
                <w:szCs w:val="16"/>
              </w:rPr>
              <w:t>Student response cards allow students to provide an immediate response to a question or problem posed by the teacher. This may allow for immediate pre-assessment of knowledge.</w:t>
            </w:r>
          </w:p>
          <w:p w:rsidR="00316854" w:rsidRPr="009722CB" w:rsidRDefault="00316854" w:rsidP="00316854">
            <w:pPr>
              <w:rPr>
                <w:b/>
              </w:rPr>
            </w:pPr>
          </w:p>
          <w:p w:rsidR="00316854" w:rsidRPr="009722CB" w:rsidRDefault="00316854" w:rsidP="00316854">
            <w:pPr>
              <w:rPr>
                <w:b/>
              </w:rPr>
            </w:pPr>
          </w:p>
        </w:tc>
        <w:tc>
          <w:tcPr>
            <w:tcW w:w="4988" w:type="dxa"/>
          </w:tcPr>
          <w:p w:rsidR="00316854" w:rsidRPr="009722CB" w:rsidRDefault="00316854" w:rsidP="00316854">
            <w:pPr>
              <w:rPr>
                <w:b/>
              </w:rPr>
            </w:pPr>
          </w:p>
          <w:p w:rsidR="00316854" w:rsidRPr="009722CB" w:rsidRDefault="00316854" w:rsidP="00316854">
            <w:pPr>
              <w:rPr>
                <w:b/>
              </w:rPr>
            </w:pPr>
          </w:p>
          <w:p w:rsidR="00316854" w:rsidRPr="009722CB" w:rsidRDefault="00316854" w:rsidP="00316854">
            <w:pPr>
              <w:rPr>
                <w:b/>
              </w:rPr>
            </w:pPr>
          </w:p>
          <w:p w:rsidR="00316854" w:rsidRPr="009722CB" w:rsidRDefault="00316854" w:rsidP="00316854">
            <w:pPr>
              <w:rPr>
                <w:b/>
              </w:rPr>
            </w:pPr>
          </w:p>
        </w:tc>
        <w:tc>
          <w:tcPr>
            <w:tcW w:w="4990" w:type="dxa"/>
          </w:tcPr>
          <w:p w:rsidR="001C3F24" w:rsidRDefault="001C3F24" w:rsidP="001C3F24">
            <w:pPr>
              <w:rPr>
                <w:rFonts w:ascii="Georgia" w:hAnsi="Georgia"/>
                <w:sz w:val="16"/>
                <w:szCs w:val="16"/>
              </w:rPr>
            </w:pPr>
            <w:r>
              <w:rPr>
                <w:b/>
              </w:rPr>
              <w:t>Portfolios</w:t>
            </w:r>
            <w:r w:rsidRPr="0000442A">
              <w:rPr>
                <w:rFonts w:ascii="Georgia" w:hAnsi="Georgia"/>
                <w:sz w:val="16"/>
                <w:szCs w:val="16"/>
              </w:rPr>
              <w:t xml:space="preserve"> </w:t>
            </w:r>
          </w:p>
          <w:p w:rsidR="001C3F24" w:rsidRPr="0000442A" w:rsidRDefault="001C3F24" w:rsidP="001C3F24">
            <w:pPr>
              <w:rPr>
                <w:rFonts w:ascii="Georgia" w:hAnsi="Georgia"/>
                <w:sz w:val="16"/>
                <w:szCs w:val="16"/>
              </w:rPr>
            </w:pPr>
            <w:r w:rsidRPr="0000442A">
              <w:rPr>
                <w:rFonts w:ascii="Georgia" w:hAnsi="Georgia"/>
                <w:sz w:val="16"/>
                <w:szCs w:val="16"/>
              </w:rPr>
              <w:t>a systematic collection of student work and artifacts that demonstrate growth and/or mastery of content, knowledge, and skills over an identified period of time.</w:t>
            </w:r>
          </w:p>
          <w:p w:rsidR="00316854" w:rsidRPr="009722CB" w:rsidRDefault="00316854" w:rsidP="00316854">
            <w:pPr>
              <w:rPr>
                <w:b/>
              </w:rPr>
            </w:pPr>
          </w:p>
        </w:tc>
      </w:tr>
      <w:tr w:rsidR="00316854" w:rsidRPr="009722CB" w:rsidTr="00B76C9B">
        <w:trPr>
          <w:trHeight w:val="1373"/>
        </w:trPr>
        <w:tc>
          <w:tcPr>
            <w:tcW w:w="4988" w:type="dxa"/>
          </w:tcPr>
          <w:p w:rsidR="00316854" w:rsidRPr="001C3F24" w:rsidRDefault="001C3F24" w:rsidP="0000442A">
            <w:r w:rsidRPr="009722CB">
              <w:rPr>
                <w:b/>
              </w:rPr>
              <w:t>Teacher Observation and Checklists</w:t>
            </w:r>
            <w:r>
              <w:rPr>
                <w:noProof/>
              </w:rPr>
              <w:t xml:space="preserve"> </w:t>
            </w:r>
            <w:r>
              <w:rPr>
                <w:rFonts w:ascii="Georgia" w:hAnsi="Georgia"/>
                <w:sz w:val="16"/>
                <w:szCs w:val="16"/>
              </w:rPr>
              <w:t>Teachers can create a checklist to record student demonstration of content understanding.  These are often based on learning objectives and can be used diagnostically to record the display of prior knowledge.</w:t>
            </w:r>
            <w:r w:rsidRPr="008B3AE8">
              <w:rPr>
                <w:rFonts w:ascii="Georgia" w:hAnsi="Georgia"/>
                <w:sz w:val="16"/>
                <w:szCs w:val="16"/>
              </w:rPr>
              <w:t> </w:t>
            </w:r>
          </w:p>
        </w:tc>
        <w:tc>
          <w:tcPr>
            <w:tcW w:w="4988" w:type="dxa"/>
          </w:tcPr>
          <w:p w:rsidR="001C3F24" w:rsidRDefault="001C3F24" w:rsidP="001C3F24">
            <w:pPr>
              <w:shd w:val="clear" w:color="auto" w:fill="FFFFFF"/>
              <w:rPr>
                <w:rFonts w:ascii="Georgia" w:hAnsi="Georgia" w:cs="Arial"/>
                <w:color w:val="000000"/>
                <w:sz w:val="16"/>
                <w:szCs w:val="16"/>
              </w:rPr>
            </w:pPr>
            <w:r w:rsidRPr="009722CB">
              <w:rPr>
                <w:b/>
              </w:rPr>
              <w:t>Four Corners</w:t>
            </w:r>
            <w:r w:rsidRPr="00781EF7">
              <w:rPr>
                <w:rFonts w:ascii="Georgia" w:hAnsi="Georgia" w:cs="Arial"/>
                <w:color w:val="000000"/>
                <w:sz w:val="16"/>
                <w:szCs w:val="16"/>
              </w:rPr>
              <w:t xml:space="preserve"> </w:t>
            </w:r>
          </w:p>
          <w:p w:rsidR="00316854" w:rsidRPr="001C3F24" w:rsidRDefault="001C3F24" w:rsidP="001C3F24">
            <w:pPr>
              <w:shd w:val="clear" w:color="auto" w:fill="FFFFFF"/>
              <w:rPr>
                <w:rFonts w:ascii="Arial" w:hAnsi="Arial" w:cs="Arial"/>
                <w:color w:val="000000"/>
              </w:rPr>
            </w:pPr>
            <w:r w:rsidRPr="00781EF7">
              <w:rPr>
                <w:rFonts w:ascii="Georgia" w:hAnsi="Georgia" w:cs="Arial"/>
                <w:color w:val="000000"/>
                <w:sz w:val="16"/>
                <w:szCs w:val="16"/>
              </w:rPr>
              <w:t>The corners of the classroom represent strongly agree, agree, disagree and strongly disagree.</w:t>
            </w:r>
            <w:r w:rsidRPr="00781EF7">
              <w:rPr>
                <w:rFonts w:ascii="Arial" w:hAnsi="Arial" w:cs="Arial"/>
                <w:color w:val="000000"/>
              </w:rPr>
              <w:t xml:space="preserve"> </w:t>
            </w:r>
            <w:r w:rsidRPr="00781EF7">
              <w:rPr>
                <w:rFonts w:ascii="Georgia" w:hAnsi="Georgia" w:cs="Arial"/>
                <w:color w:val="000000"/>
                <w:sz w:val="16"/>
                <w:szCs w:val="16"/>
              </w:rPr>
              <w:t xml:space="preserve">Students </w:t>
            </w:r>
            <w:r>
              <w:rPr>
                <w:rFonts w:ascii="Georgia" w:hAnsi="Georgia" w:cs="Arial"/>
                <w:color w:val="000000"/>
                <w:sz w:val="16"/>
                <w:szCs w:val="16"/>
              </w:rPr>
              <w:t>respond</w:t>
            </w:r>
            <w:r w:rsidRPr="00781EF7">
              <w:rPr>
                <w:rFonts w:ascii="Georgia" w:hAnsi="Georgia" w:cs="Arial"/>
                <w:color w:val="000000"/>
                <w:sz w:val="16"/>
                <w:szCs w:val="16"/>
              </w:rPr>
              <w:t xml:space="preserve"> to</w:t>
            </w:r>
            <w:r>
              <w:rPr>
                <w:rFonts w:ascii="Georgia" w:hAnsi="Georgia" w:cs="Arial"/>
                <w:color w:val="000000"/>
                <w:sz w:val="16"/>
                <w:szCs w:val="16"/>
              </w:rPr>
              <w:t xml:space="preserve"> a</w:t>
            </w:r>
            <w:r w:rsidRPr="00781EF7">
              <w:rPr>
                <w:rFonts w:ascii="Arial" w:hAnsi="Arial" w:cs="Arial"/>
                <w:color w:val="000000"/>
              </w:rPr>
              <w:t xml:space="preserve"> </w:t>
            </w:r>
            <w:r>
              <w:rPr>
                <w:rFonts w:ascii="Georgia" w:hAnsi="Georgia" w:cs="Arial"/>
                <w:color w:val="000000"/>
                <w:sz w:val="16"/>
                <w:szCs w:val="16"/>
              </w:rPr>
              <w:t>statement or question</w:t>
            </w:r>
            <w:r w:rsidRPr="00781EF7">
              <w:rPr>
                <w:rFonts w:ascii="Georgia" w:hAnsi="Georgia" w:cs="Arial"/>
                <w:color w:val="000000"/>
                <w:sz w:val="16"/>
                <w:szCs w:val="16"/>
              </w:rPr>
              <w:t xml:space="preserve"> and </w:t>
            </w:r>
            <w:r>
              <w:rPr>
                <w:rFonts w:ascii="Georgia" w:hAnsi="Georgia" w:cs="Arial"/>
                <w:color w:val="000000"/>
                <w:sz w:val="16"/>
                <w:szCs w:val="16"/>
              </w:rPr>
              <w:t xml:space="preserve">move to </w:t>
            </w:r>
            <w:r w:rsidRPr="00781EF7">
              <w:rPr>
                <w:rFonts w:ascii="Georgia" w:hAnsi="Georgia" w:cs="Arial"/>
                <w:color w:val="000000"/>
                <w:sz w:val="16"/>
                <w:szCs w:val="16"/>
              </w:rPr>
              <w:t>which of</w:t>
            </w:r>
            <w:r w:rsidRPr="00781EF7">
              <w:rPr>
                <w:rFonts w:ascii="Arial" w:hAnsi="Arial" w:cs="Arial"/>
                <w:color w:val="000000"/>
              </w:rPr>
              <w:t xml:space="preserve"> </w:t>
            </w:r>
            <w:r w:rsidRPr="00781EF7">
              <w:rPr>
                <w:rFonts w:ascii="Georgia" w:hAnsi="Georgia" w:cs="Arial"/>
                <w:color w:val="000000"/>
                <w:sz w:val="16"/>
                <w:szCs w:val="16"/>
              </w:rPr>
              <w:t>the corners best captures their perspective. Students pair up</w:t>
            </w:r>
            <w:r w:rsidRPr="00781EF7">
              <w:rPr>
                <w:rFonts w:ascii="Arial" w:hAnsi="Arial" w:cs="Arial"/>
                <w:color w:val="000000"/>
              </w:rPr>
              <w:t xml:space="preserve"> </w:t>
            </w:r>
            <w:r w:rsidRPr="00781EF7">
              <w:rPr>
                <w:rFonts w:ascii="Georgia" w:hAnsi="Georgia" w:cs="Arial"/>
                <w:color w:val="000000"/>
                <w:sz w:val="16"/>
                <w:szCs w:val="16"/>
              </w:rPr>
              <w:t>with another student</w:t>
            </w:r>
            <w:r>
              <w:rPr>
                <w:rFonts w:ascii="Georgia" w:hAnsi="Georgia" w:cs="Arial"/>
                <w:color w:val="000000"/>
                <w:sz w:val="16"/>
                <w:szCs w:val="16"/>
              </w:rPr>
              <w:t xml:space="preserve"> to discuss and compare their thinking.</w:t>
            </w:r>
            <w:r w:rsidRPr="00781EF7">
              <w:rPr>
                <w:rFonts w:ascii="Georgia" w:hAnsi="Georgia" w:cs="Arial"/>
                <w:color w:val="000000"/>
                <w:sz w:val="16"/>
                <w:szCs w:val="16"/>
              </w:rPr>
              <w:t xml:space="preserve"> </w:t>
            </w:r>
          </w:p>
        </w:tc>
        <w:tc>
          <w:tcPr>
            <w:tcW w:w="4990" w:type="dxa"/>
          </w:tcPr>
          <w:p w:rsidR="00316854" w:rsidRPr="009722CB" w:rsidRDefault="00316854" w:rsidP="00316854">
            <w:pPr>
              <w:rPr>
                <w:b/>
              </w:rPr>
            </w:pPr>
          </w:p>
        </w:tc>
      </w:tr>
      <w:tr w:rsidR="00316854" w:rsidRPr="009722CB" w:rsidTr="00B76C9B">
        <w:trPr>
          <w:trHeight w:val="1484"/>
        </w:trPr>
        <w:tc>
          <w:tcPr>
            <w:tcW w:w="4988" w:type="dxa"/>
          </w:tcPr>
          <w:p w:rsidR="001C3F24" w:rsidRDefault="001C3F24" w:rsidP="001C3F24">
            <w:pPr>
              <w:rPr>
                <w:rFonts w:ascii="Georgia" w:hAnsi="Georgia" w:cs="Arial"/>
                <w:sz w:val="16"/>
                <w:szCs w:val="16"/>
              </w:rPr>
            </w:pPr>
            <w:r w:rsidRPr="009722CB">
              <w:rPr>
                <w:b/>
              </w:rPr>
              <w:t>Concept Map</w:t>
            </w:r>
            <w:r w:rsidRPr="001B3912">
              <w:rPr>
                <w:rFonts w:ascii="Georgia" w:hAnsi="Georgia" w:cs="Arial"/>
                <w:sz w:val="16"/>
                <w:szCs w:val="16"/>
              </w:rPr>
              <w:t xml:space="preserve"> </w:t>
            </w:r>
          </w:p>
          <w:p w:rsidR="001C3F24" w:rsidRPr="001B3912" w:rsidRDefault="001C3F24" w:rsidP="001C3F24">
            <w:pPr>
              <w:rPr>
                <w:sz w:val="16"/>
                <w:szCs w:val="16"/>
              </w:rPr>
            </w:pPr>
            <w:r w:rsidRPr="001B3912">
              <w:rPr>
                <w:rFonts w:ascii="Georgia" w:hAnsi="Georgia" w:cs="Arial"/>
                <w:sz w:val="16"/>
                <w:szCs w:val="16"/>
              </w:rPr>
              <w:t xml:space="preserve">A </w:t>
            </w:r>
            <w:r w:rsidRPr="001B3912">
              <w:rPr>
                <w:rStyle w:val="Emphasis"/>
                <w:rFonts w:ascii="Georgia" w:hAnsi="Georgia" w:cs="Arial"/>
                <w:sz w:val="16"/>
                <w:szCs w:val="16"/>
              </w:rPr>
              <w:t>concept map</w:t>
            </w:r>
            <w:r w:rsidRPr="001B3912">
              <w:rPr>
                <w:rFonts w:ascii="Georgia" w:hAnsi="Georgia" w:cs="Arial"/>
                <w:sz w:val="16"/>
                <w:szCs w:val="16"/>
              </w:rPr>
              <w:t xml:space="preserve"> is a diagram showing the relationships among concepts. It is a graphical tool for organizing and representing knowledge</w:t>
            </w:r>
            <w:r>
              <w:rPr>
                <w:rFonts w:ascii="Georgia" w:hAnsi="Georgia" w:cs="Arial"/>
                <w:sz w:val="16"/>
                <w:szCs w:val="16"/>
              </w:rPr>
              <w:t>.</w:t>
            </w:r>
          </w:p>
          <w:p w:rsidR="00316854" w:rsidRPr="009722CB" w:rsidRDefault="00316854" w:rsidP="00316854">
            <w:pPr>
              <w:rPr>
                <w:b/>
              </w:rPr>
            </w:pPr>
          </w:p>
        </w:tc>
        <w:tc>
          <w:tcPr>
            <w:tcW w:w="4988" w:type="dxa"/>
          </w:tcPr>
          <w:p w:rsidR="00870AD1" w:rsidRDefault="00870AD1" w:rsidP="00870AD1">
            <w:pPr>
              <w:rPr>
                <w:rFonts w:ascii="Georgia" w:hAnsi="Georgia"/>
                <w:sz w:val="16"/>
                <w:szCs w:val="16"/>
              </w:rPr>
            </w:pPr>
            <w:r>
              <w:rPr>
                <w:b/>
                <w:noProof/>
              </w:rPr>
              <w:t>Gallery Walk</w:t>
            </w:r>
            <w:r w:rsidRPr="008B3AE8">
              <w:rPr>
                <w:rFonts w:ascii="Georgia" w:hAnsi="Georgia"/>
                <w:sz w:val="16"/>
                <w:szCs w:val="16"/>
              </w:rPr>
              <w:t xml:space="preserve"> </w:t>
            </w:r>
          </w:p>
          <w:p w:rsidR="00870AD1" w:rsidRPr="008B3AE8" w:rsidRDefault="00870AD1" w:rsidP="00870AD1">
            <w:r w:rsidRPr="008B3AE8">
              <w:rPr>
                <w:rFonts w:ascii="Georgia" w:hAnsi="Georgia"/>
                <w:sz w:val="16"/>
                <w:szCs w:val="16"/>
              </w:rPr>
              <w:t xml:space="preserve">During a Gallery Walk, students explore </w:t>
            </w:r>
            <w:r>
              <w:rPr>
                <w:rFonts w:ascii="Georgia" w:hAnsi="Georgia"/>
                <w:sz w:val="16"/>
                <w:szCs w:val="16"/>
              </w:rPr>
              <w:t>problems</w:t>
            </w:r>
            <w:r w:rsidRPr="008B3AE8">
              <w:rPr>
                <w:rFonts w:ascii="Georgia" w:hAnsi="Georgia"/>
                <w:sz w:val="16"/>
                <w:szCs w:val="16"/>
              </w:rPr>
              <w:t xml:space="preserve"> or images that are placed around the room.  Teachers often use this strategy as a way to have students share their work with peers, or respond to a collection of </w:t>
            </w:r>
            <w:r>
              <w:rPr>
                <w:rFonts w:ascii="Georgia" w:hAnsi="Georgia"/>
                <w:sz w:val="16"/>
                <w:szCs w:val="16"/>
              </w:rPr>
              <w:t>problems</w:t>
            </w:r>
            <w:r w:rsidRPr="008B3AE8">
              <w:rPr>
                <w:rFonts w:ascii="Georgia" w:hAnsi="Georgia"/>
                <w:sz w:val="16"/>
                <w:szCs w:val="16"/>
              </w:rPr>
              <w:t>. </w:t>
            </w:r>
          </w:p>
          <w:p w:rsidR="00316854" w:rsidRPr="009722CB" w:rsidRDefault="00316854" w:rsidP="00316854">
            <w:pPr>
              <w:rPr>
                <w:b/>
              </w:rPr>
            </w:pPr>
          </w:p>
        </w:tc>
        <w:tc>
          <w:tcPr>
            <w:tcW w:w="4990" w:type="dxa"/>
          </w:tcPr>
          <w:p w:rsidR="00870AD1" w:rsidRDefault="00870AD1" w:rsidP="00870AD1">
            <w:pPr>
              <w:pStyle w:val="NormalWeb"/>
              <w:spacing w:before="0" w:beforeAutospacing="0" w:after="0" w:afterAutospacing="0"/>
              <w:rPr>
                <w:b/>
              </w:rPr>
            </w:pPr>
            <w:r w:rsidRPr="00870AD1">
              <w:rPr>
                <w:rFonts w:asciiTheme="minorHAnsi" w:hAnsiTheme="minorHAnsi"/>
                <w:b/>
                <w:sz w:val="22"/>
                <w:szCs w:val="22"/>
              </w:rPr>
              <w:t>Standardized Tests</w:t>
            </w:r>
            <w:r w:rsidRPr="009722CB">
              <w:rPr>
                <w:b/>
              </w:rPr>
              <w:t xml:space="preserve"> </w:t>
            </w:r>
          </w:p>
          <w:p w:rsidR="00316854" w:rsidRPr="00870AD1" w:rsidRDefault="00870AD1" w:rsidP="00870AD1">
            <w:pPr>
              <w:pStyle w:val="NormalWeb"/>
              <w:spacing w:before="0" w:beforeAutospacing="0" w:after="0" w:afterAutospacing="0"/>
              <w:rPr>
                <w:rFonts w:ascii="Georgia" w:hAnsi="Georgia"/>
                <w:sz w:val="16"/>
                <w:szCs w:val="16"/>
              </w:rPr>
            </w:pPr>
            <w:r>
              <w:rPr>
                <w:rFonts w:ascii="Georgia" w:hAnsi="Georgia"/>
                <w:sz w:val="16"/>
                <w:szCs w:val="16"/>
              </w:rPr>
              <w:t xml:space="preserve">Standardized tests include assessments such as the SOL Assessments, the PSAT and SAT, the ACT, AP exams, ASVAB (Armed Services Vocational Aptitude Battery), etc. and assess student learning as compared with other students across the state or nation. </w:t>
            </w:r>
            <w:r w:rsidR="00316854" w:rsidRPr="009722CB">
              <w:rPr>
                <w:b/>
              </w:rPr>
              <w:t xml:space="preserve"> </w:t>
            </w:r>
          </w:p>
        </w:tc>
      </w:tr>
      <w:tr w:rsidR="00316854" w:rsidRPr="009722CB" w:rsidTr="00B76C9B">
        <w:trPr>
          <w:trHeight w:val="1373"/>
        </w:trPr>
        <w:tc>
          <w:tcPr>
            <w:tcW w:w="4988" w:type="dxa"/>
          </w:tcPr>
          <w:p w:rsidR="00870AD1" w:rsidRDefault="00870AD1" w:rsidP="00870AD1">
            <w:pPr>
              <w:shd w:val="clear" w:color="auto" w:fill="FFFFFF"/>
              <w:rPr>
                <w:b/>
              </w:rPr>
            </w:pPr>
            <w:r w:rsidRPr="009722CB">
              <w:rPr>
                <w:b/>
              </w:rPr>
              <w:t>Interest Survey</w:t>
            </w:r>
          </w:p>
          <w:p w:rsidR="00870AD1" w:rsidRPr="00781EF7" w:rsidRDefault="00870AD1" w:rsidP="00870AD1">
            <w:pPr>
              <w:shd w:val="clear" w:color="auto" w:fill="FFFFFF"/>
              <w:rPr>
                <w:rFonts w:ascii="Arial" w:hAnsi="Arial" w:cs="Arial"/>
                <w:color w:val="000000"/>
              </w:rPr>
            </w:pPr>
            <w:r>
              <w:rPr>
                <w:rFonts w:ascii="Georgia" w:hAnsi="Georgia" w:cs="Arial"/>
                <w:color w:val="000000"/>
                <w:sz w:val="16"/>
                <w:szCs w:val="16"/>
              </w:rPr>
              <w:t xml:space="preserve"> Student interest surveys can be administered prior to a unit of study to determine how the teacher could make connections between the content and the interests of individual students.</w:t>
            </w:r>
          </w:p>
          <w:p w:rsidR="00316854" w:rsidRPr="009722CB" w:rsidRDefault="00316854" w:rsidP="00316854">
            <w:pPr>
              <w:rPr>
                <w:b/>
              </w:rPr>
            </w:pPr>
          </w:p>
        </w:tc>
        <w:tc>
          <w:tcPr>
            <w:tcW w:w="4988" w:type="dxa"/>
          </w:tcPr>
          <w:p w:rsidR="00870AD1" w:rsidRDefault="00870AD1" w:rsidP="00870AD1">
            <w:pPr>
              <w:shd w:val="clear" w:color="auto" w:fill="FFFFFF"/>
              <w:rPr>
                <w:rFonts w:ascii="Georgia" w:hAnsi="Georgia" w:cs="Arial"/>
                <w:color w:val="000000"/>
                <w:sz w:val="16"/>
                <w:szCs w:val="16"/>
              </w:rPr>
            </w:pPr>
            <w:r w:rsidRPr="009722CB">
              <w:rPr>
                <w:b/>
                <w:noProof/>
              </w:rPr>
              <w:t>Warm-Up</w:t>
            </w:r>
            <w:r>
              <w:rPr>
                <w:rFonts w:ascii="Georgia" w:hAnsi="Georgia" w:cs="Arial"/>
                <w:color w:val="000000"/>
                <w:sz w:val="16"/>
                <w:szCs w:val="16"/>
              </w:rPr>
              <w:t xml:space="preserve"> </w:t>
            </w:r>
          </w:p>
          <w:p w:rsidR="00870AD1" w:rsidRPr="00781EF7" w:rsidRDefault="00870AD1" w:rsidP="00870AD1">
            <w:pPr>
              <w:shd w:val="clear" w:color="auto" w:fill="FFFFFF"/>
              <w:rPr>
                <w:rFonts w:ascii="Georgia" w:hAnsi="Georgia" w:cs="Arial"/>
                <w:color w:val="000000"/>
                <w:sz w:val="16"/>
                <w:szCs w:val="16"/>
              </w:rPr>
            </w:pPr>
            <w:r>
              <w:rPr>
                <w:rFonts w:ascii="Georgia" w:hAnsi="Georgia" w:cs="Arial"/>
                <w:color w:val="000000"/>
                <w:sz w:val="16"/>
                <w:szCs w:val="16"/>
              </w:rPr>
              <w:t>A warm-up can get students started right away on solving a problem that has previously been introduced.  Teachers can then use the results to drive instruction or differentiate based on readiness.</w:t>
            </w:r>
          </w:p>
          <w:p w:rsidR="00316854" w:rsidRPr="009722CB" w:rsidRDefault="00316854" w:rsidP="00316854">
            <w:pPr>
              <w:rPr>
                <w:b/>
                <w:noProof/>
              </w:rPr>
            </w:pPr>
          </w:p>
        </w:tc>
        <w:tc>
          <w:tcPr>
            <w:tcW w:w="4990" w:type="dxa"/>
            <w:shd w:val="clear" w:color="auto" w:fill="A6A6A6" w:themeFill="background1" w:themeFillShade="A6"/>
          </w:tcPr>
          <w:p w:rsidR="00316854" w:rsidRPr="009722CB" w:rsidRDefault="00316854" w:rsidP="00316854"/>
        </w:tc>
      </w:tr>
      <w:tr w:rsidR="00316854" w:rsidRPr="009722CB" w:rsidTr="00B76C9B">
        <w:trPr>
          <w:trHeight w:val="1373"/>
        </w:trPr>
        <w:tc>
          <w:tcPr>
            <w:tcW w:w="4988" w:type="dxa"/>
          </w:tcPr>
          <w:p w:rsidR="00870AD1" w:rsidRDefault="00870AD1" w:rsidP="00870AD1">
            <w:pPr>
              <w:rPr>
                <w:rFonts w:ascii="Georgia" w:hAnsi="Georgia"/>
                <w:sz w:val="16"/>
                <w:szCs w:val="16"/>
              </w:rPr>
            </w:pPr>
            <w:r>
              <w:rPr>
                <w:b/>
              </w:rPr>
              <w:t>Graffiti Wall</w:t>
            </w:r>
            <w:r>
              <w:rPr>
                <w:rFonts w:ascii="Georgia" w:hAnsi="Georgia"/>
                <w:sz w:val="16"/>
                <w:szCs w:val="16"/>
              </w:rPr>
              <w:t xml:space="preserve"> </w:t>
            </w:r>
          </w:p>
          <w:p w:rsidR="00316854" w:rsidRPr="00870AD1" w:rsidRDefault="00870AD1" w:rsidP="00870AD1">
            <w:r>
              <w:rPr>
                <w:rFonts w:ascii="Georgia" w:hAnsi="Georgia"/>
                <w:sz w:val="16"/>
                <w:szCs w:val="16"/>
              </w:rPr>
              <w:t>On a graffiti wall,</w:t>
            </w:r>
            <w:r w:rsidRPr="00D157CD">
              <w:rPr>
                <w:rFonts w:ascii="Georgia" w:hAnsi="Georgia"/>
                <w:sz w:val="16"/>
                <w:szCs w:val="16"/>
              </w:rPr>
              <w:t xml:space="preserve"> colorful markers and large poster paper, have all students creatively design a Graffiti Wall of things they know about a specific topic of study. Students are then encouraged to add to the wall throughout the un</w:t>
            </w:r>
            <w:r>
              <w:rPr>
                <w:rFonts w:ascii="Georgia" w:hAnsi="Georgia"/>
                <w:sz w:val="16"/>
                <w:szCs w:val="16"/>
              </w:rPr>
              <w:t>it as they gain new knowledge. This is a</w:t>
            </w:r>
            <w:r w:rsidRPr="00D157CD">
              <w:rPr>
                <w:rFonts w:ascii="Georgia" w:hAnsi="Georgia"/>
                <w:sz w:val="16"/>
                <w:szCs w:val="16"/>
              </w:rPr>
              <w:t xml:space="preserve"> colorful way to display what they know and what they have learned.</w:t>
            </w:r>
          </w:p>
        </w:tc>
        <w:tc>
          <w:tcPr>
            <w:tcW w:w="4988" w:type="dxa"/>
          </w:tcPr>
          <w:p w:rsidR="00870AD1" w:rsidRDefault="00870AD1" w:rsidP="00870AD1">
            <w:pPr>
              <w:shd w:val="clear" w:color="auto" w:fill="FFFFFF"/>
              <w:rPr>
                <w:rFonts w:ascii="Georgia" w:hAnsi="Georgia" w:cs="Arial"/>
                <w:color w:val="000000"/>
                <w:sz w:val="16"/>
                <w:szCs w:val="16"/>
              </w:rPr>
            </w:pPr>
            <w:r w:rsidRPr="00FB6A71">
              <w:rPr>
                <w:b/>
                <w:noProof/>
              </w:rPr>
              <w:t>Concentric</w:t>
            </w:r>
            <w:r>
              <w:rPr>
                <w:b/>
                <w:noProof/>
              </w:rPr>
              <w:t xml:space="preserve"> Circle Sharing</w:t>
            </w:r>
            <w:r w:rsidRPr="00781EF7">
              <w:rPr>
                <w:rFonts w:ascii="Georgia" w:hAnsi="Georgia" w:cs="Arial"/>
                <w:color w:val="000000"/>
                <w:sz w:val="16"/>
                <w:szCs w:val="16"/>
              </w:rPr>
              <w:t xml:space="preserve"> </w:t>
            </w:r>
          </w:p>
          <w:p w:rsidR="00870AD1" w:rsidRPr="00781EF7" w:rsidRDefault="00870AD1" w:rsidP="00870AD1">
            <w:pPr>
              <w:shd w:val="clear" w:color="auto" w:fill="FFFFFF"/>
              <w:rPr>
                <w:rFonts w:ascii="Georgia" w:hAnsi="Georgia" w:cs="Arial"/>
                <w:color w:val="000000"/>
                <w:sz w:val="16"/>
                <w:szCs w:val="16"/>
              </w:rPr>
            </w:pPr>
            <w:r w:rsidRPr="00781EF7">
              <w:rPr>
                <w:rFonts w:ascii="Georgia" w:hAnsi="Georgia" w:cs="Arial"/>
                <w:color w:val="000000"/>
                <w:sz w:val="16"/>
                <w:szCs w:val="16"/>
              </w:rPr>
              <w:t>Students are placed in two circles. Students in the inner circle face outwards, directly facing another student in the outer circle. This strategy enables discussion between students</w:t>
            </w:r>
            <w:r w:rsidRPr="00781EF7">
              <w:rPr>
                <w:rFonts w:ascii="Arial" w:hAnsi="Arial" w:cs="Arial"/>
                <w:color w:val="000000"/>
              </w:rPr>
              <w:t xml:space="preserve"> </w:t>
            </w:r>
            <w:r w:rsidRPr="00781EF7">
              <w:rPr>
                <w:rFonts w:ascii="Georgia" w:hAnsi="Georgia" w:cs="Arial"/>
                <w:color w:val="000000"/>
                <w:sz w:val="16"/>
                <w:szCs w:val="16"/>
              </w:rPr>
              <w:t>while encouraging movement and interaction.</w:t>
            </w:r>
          </w:p>
          <w:p w:rsidR="00870AD1" w:rsidRPr="009722CB" w:rsidRDefault="00870AD1" w:rsidP="00316854">
            <w:pPr>
              <w:rPr>
                <w:b/>
                <w:noProof/>
              </w:rPr>
            </w:pPr>
          </w:p>
        </w:tc>
        <w:tc>
          <w:tcPr>
            <w:tcW w:w="4990" w:type="dxa"/>
            <w:shd w:val="clear" w:color="auto" w:fill="A6A6A6"/>
          </w:tcPr>
          <w:p w:rsidR="00316854" w:rsidRPr="009722CB" w:rsidRDefault="00316854" w:rsidP="00316854"/>
        </w:tc>
      </w:tr>
      <w:tr w:rsidR="00316854" w:rsidRPr="009722CB" w:rsidTr="00B76C9B">
        <w:trPr>
          <w:trHeight w:val="1373"/>
        </w:trPr>
        <w:tc>
          <w:tcPr>
            <w:tcW w:w="4988" w:type="dxa"/>
          </w:tcPr>
          <w:p w:rsidR="00870AD1" w:rsidRDefault="00870AD1" w:rsidP="00870AD1">
            <w:pPr>
              <w:rPr>
                <w:b/>
              </w:rPr>
            </w:pPr>
            <w:r w:rsidRPr="009722CB">
              <w:rPr>
                <w:b/>
              </w:rPr>
              <w:t>Picture or Graph Interpretation</w:t>
            </w:r>
          </w:p>
          <w:p w:rsidR="00316854" w:rsidRPr="009722CB" w:rsidRDefault="00870AD1" w:rsidP="00870AD1">
            <w:pPr>
              <w:rPr>
                <w:b/>
              </w:rPr>
            </w:pPr>
            <w:r>
              <w:rPr>
                <w:rFonts w:ascii="Georgia" w:hAnsi="Georgia" w:cs="Arial"/>
                <w:sz w:val="16"/>
                <w:szCs w:val="16"/>
              </w:rPr>
              <w:t xml:space="preserve">Students respond to information provided in a graph, chart, or picture by making observations and conjectures based upon prior knowledge.  For example, students could be provided a picture of an historic event and asked to provide observations or make conjectures surrounding its context and time period. </w:t>
            </w:r>
          </w:p>
        </w:tc>
        <w:tc>
          <w:tcPr>
            <w:tcW w:w="4988" w:type="dxa"/>
          </w:tcPr>
          <w:p w:rsidR="00870AD1" w:rsidRDefault="00870AD1" w:rsidP="00870AD1">
            <w:pPr>
              <w:rPr>
                <w:b/>
                <w:noProof/>
              </w:rPr>
            </w:pPr>
            <w:r>
              <w:rPr>
                <w:b/>
                <w:noProof/>
              </w:rPr>
              <w:t>Vocabulary Share</w:t>
            </w:r>
          </w:p>
          <w:p w:rsidR="00316854" w:rsidRPr="00870AD1" w:rsidRDefault="00870AD1" w:rsidP="00870AD1">
            <w:r>
              <w:rPr>
                <w:rFonts w:ascii="Georgia" w:hAnsi="Georgia" w:cs="Arial"/>
                <w:sz w:val="16"/>
                <w:szCs w:val="16"/>
              </w:rPr>
              <w:t>Students are given cards on which vocabulary words are printed.  Students work in pairs and try to get their partner to say the word on the card by describing it without using the word itself.  Students then switch roles until they have reviewed the set of cards provided.</w:t>
            </w:r>
          </w:p>
        </w:tc>
        <w:tc>
          <w:tcPr>
            <w:tcW w:w="4990" w:type="dxa"/>
            <w:shd w:val="clear" w:color="auto" w:fill="A6A6A6"/>
          </w:tcPr>
          <w:p w:rsidR="00316854" w:rsidRPr="009722CB" w:rsidRDefault="00316854" w:rsidP="00316854"/>
        </w:tc>
      </w:tr>
      <w:tr w:rsidR="00316854" w:rsidRPr="009722CB" w:rsidTr="00B76C9B">
        <w:trPr>
          <w:trHeight w:val="1373"/>
        </w:trPr>
        <w:tc>
          <w:tcPr>
            <w:tcW w:w="4988" w:type="dxa"/>
          </w:tcPr>
          <w:p w:rsidR="00446988" w:rsidRDefault="00870AD1" w:rsidP="00870AD1">
            <w:pPr>
              <w:rPr>
                <w:b/>
              </w:rPr>
            </w:pPr>
            <w:r>
              <w:rPr>
                <w:b/>
              </w:rPr>
              <w:t>Card Sort</w:t>
            </w:r>
          </w:p>
          <w:p w:rsidR="00870AD1" w:rsidRPr="00046508" w:rsidRDefault="00870AD1" w:rsidP="00870AD1">
            <w:r>
              <w:rPr>
                <w:rFonts w:ascii="Georgia" w:hAnsi="Georgia" w:cs="Arial"/>
                <w:sz w:val="16"/>
                <w:szCs w:val="16"/>
              </w:rPr>
              <w:t>Students are given cards with unfamiliar content or concepts (i.e. equations written in slope-intercept form, standard form, point-slope form) and asked to sort them based on attributes.  Students must then describe the attributes that led them to sort the cards that way.</w:t>
            </w:r>
          </w:p>
          <w:p w:rsidR="00316854" w:rsidRPr="009722CB" w:rsidRDefault="00316854" w:rsidP="00316854">
            <w:pPr>
              <w:rPr>
                <w:b/>
              </w:rPr>
            </w:pPr>
            <w:r>
              <w:rPr>
                <w:rFonts w:ascii="Georgia" w:hAnsi="Georgia"/>
              </w:rPr>
              <w:t xml:space="preserve"> </w:t>
            </w:r>
          </w:p>
        </w:tc>
        <w:tc>
          <w:tcPr>
            <w:tcW w:w="4988" w:type="dxa"/>
          </w:tcPr>
          <w:p w:rsidR="00870AD1" w:rsidRDefault="00870AD1" w:rsidP="00870AD1">
            <w:pPr>
              <w:rPr>
                <w:rFonts w:ascii="Georgia" w:hAnsi="Georgia" w:cs="Arial"/>
                <w:sz w:val="16"/>
                <w:szCs w:val="16"/>
              </w:rPr>
            </w:pPr>
            <w:r w:rsidRPr="00316854">
              <w:rPr>
                <w:rFonts w:asciiTheme="minorHAnsi" w:hAnsiTheme="minorHAnsi" w:cstheme="minorHAnsi"/>
                <w:b/>
                <w:noProof/>
              </w:rPr>
              <w:t>Ji</w:t>
            </w:r>
            <w:r w:rsidRPr="00316854">
              <w:rPr>
                <w:rFonts w:asciiTheme="minorHAnsi" w:hAnsiTheme="minorHAnsi" w:cstheme="minorHAnsi"/>
                <w:b/>
                <w:noProof/>
                <w:szCs w:val="16"/>
              </w:rPr>
              <w:t>gsaw</w:t>
            </w:r>
            <w:r w:rsidRPr="00046508">
              <w:rPr>
                <w:rFonts w:ascii="Georgia" w:hAnsi="Georgia" w:cs="Arial"/>
                <w:sz w:val="16"/>
                <w:szCs w:val="16"/>
              </w:rPr>
              <w:t xml:space="preserve"> </w:t>
            </w:r>
          </w:p>
          <w:p w:rsidR="00316854" w:rsidRPr="00870AD1" w:rsidRDefault="00870AD1" w:rsidP="00870AD1">
            <w:r w:rsidRPr="00046508">
              <w:rPr>
                <w:rFonts w:ascii="Georgia" w:hAnsi="Georgia" w:cs="Arial"/>
                <w:sz w:val="16"/>
                <w:szCs w:val="16"/>
              </w:rPr>
              <w:t xml:space="preserve">The jigsaw strategy is used as a random way of forming students into groups. </w:t>
            </w:r>
            <w:r>
              <w:rPr>
                <w:rFonts w:ascii="Georgia" w:hAnsi="Georgia" w:cs="Arial"/>
                <w:sz w:val="16"/>
                <w:szCs w:val="16"/>
              </w:rPr>
              <w:t>Students are put into groups of three or four and asked to examine one component of a problem.  Students in each group then share out their findings to the class.</w:t>
            </w:r>
          </w:p>
          <w:p w:rsidR="00316854" w:rsidRPr="00316854" w:rsidRDefault="00316854" w:rsidP="00316854">
            <w:pPr>
              <w:numPr>
                <w:ilvl w:val="0"/>
                <w:numId w:val="2"/>
              </w:numPr>
              <w:shd w:val="clear" w:color="auto" w:fill="FFFFFF"/>
              <w:spacing w:before="100" w:beforeAutospacing="1" w:after="100" w:afterAutospacing="1" w:line="336" w:lineRule="auto"/>
              <w:ind w:left="3720"/>
              <w:rPr>
                <w:rFonts w:asciiTheme="minorHAnsi" w:hAnsiTheme="minorHAnsi" w:cstheme="minorHAnsi"/>
                <w:b/>
                <w:noProof/>
              </w:rPr>
            </w:pPr>
          </w:p>
        </w:tc>
        <w:tc>
          <w:tcPr>
            <w:tcW w:w="4990" w:type="dxa"/>
            <w:shd w:val="clear" w:color="auto" w:fill="A6A6A6"/>
          </w:tcPr>
          <w:p w:rsidR="00316854" w:rsidRPr="009722CB" w:rsidRDefault="00316854" w:rsidP="00316854"/>
        </w:tc>
      </w:tr>
    </w:tbl>
    <w:p w:rsidR="00A2627D" w:rsidRDefault="00A2627D"/>
    <w:p w:rsidR="00A2627D" w:rsidRDefault="00A2627D"/>
    <w:sectPr w:rsidR="00A2627D" w:rsidSect="002E5B3C">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2C2C454E"/>
    <w:multiLevelType w:val="hybridMultilevel"/>
    <w:tmpl w:val="E672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A5328"/>
    <w:multiLevelType w:val="multilevel"/>
    <w:tmpl w:val="D2F48B9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8C1EFA"/>
    <w:multiLevelType w:val="hybridMultilevel"/>
    <w:tmpl w:val="1496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4F"/>
    <w:rsid w:val="0000442A"/>
    <w:rsid w:val="00004F12"/>
    <w:rsid w:val="00023544"/>
    <w:rsid w:val="00027F86"/>
    <w:rsid w:val="00031AE4"/>
    <w:rsid w:val="00031E18"/>
    <w:rsid w:val="0003691B"/>
    <w:rsid w:val="00037B20"/>
    <w:rsid w:val="00045408"/>
    <w:rsid w:val="00046508"/>
    <w:rsid w:val="00047F5F"/>
    <w:rsid w:val="00087A45"/>
    <w:rsid w:val="0009059A"/>
    <w:rsid w:val="00091353"/>
    <w:rsid w:val="00092409"/>
    <w:rsid w:val="000A00E2"/>
    <w:rsid w:val="000B47F2"/>
    <w:rsid w:val="000C340D"/>
    <w:rsid w:val="000F3A94"/>
    <w:rsid w:val="000F3C4D"/>
    <w:rsid w:val="00105581"/>
    <w:rsid w:val="00117CA4"/>
    <w:rsid w:val="00135A37"/>
    <w:rsid w:val="00135EE7"/>
    <w:rsid w:val="001377E3"/>
    <w:rsid w:val="00146888"/>
    <w:rsid w:val="00147BF8"/>
    <w:rsid w:val="00152370"/>
    <w:rsid w:val="001527C5"/>
    <w:rsid w:val="001546DB"/>
    <w:rsid w:val="001554B4"/>
    <w:rsid w:val="0016694B"/>
    <w:rsid w:val="00174B28"/>
    <w:rsid w:val="00193846"/>
    <w:rsid w:val="00195130"/>
    <w:rsid w:val="00195261"/>
    <w:rsid w:val="00195E82"/>
    <w:rsid w:val="00196AE2"/>
    <w:rsid w:val="00197E45"/>
    <w:rsid w:val="001A70AB"/>
    <w:rsid w:val="001B045E"/>
    <w:rsid w:val="001B3912"/>
    <w:rsid w:val="001B4C8E"/>
    <w:rsid w:val="001C0E8F"/>
    <w:rsid w:val="001C3F24"/>
    <w:rsid w:val="001D0BF9"/>
    <w:rsid w:val="001E0CD9"/>
    <w:rsid w:val="001E18AE"/>
    <w:rsid w:val="001F177E"/>
    <w:rsid w:val="001F2A65"/>
    <w:rsid w:val="001F363D"/>
    <w:rsid w:val="001F7C0C"/>
    <w:rsid w:val="0020318F"/>
    <w:rsid w:val="002036E2"/>
    <w:rsid w:val="00207B5E"/>
    <w:rsid w:val="00214B72"/>
    <w:rsid w:val="00216CDC"/>
    <w:rsid w:val="00217C8B"/>
    <w:rsid w:val="00224D32"/>
    <w:rsid w:val="00236D11"/>
    <w:rsid w:val="002370BB"/>
    <w:rsid w:val="0025078D"/>
    <w:rsid w:val="00264138"/>
    <w:rsid w:val="002655D1"/>
    <w:rsid w:val="002706C5"/>
    <w:rsid w:val="0028024E"/>
    <w:rsid w:val="002812AF"/>
    <w:rsid w:val="00281EC2"/>
    <w:rsid w:val="002977F5"/>
    <w:rsid w:val="002A39B5"/>
    <w:rsid w:val="002A4F59"/>
    <w:rsid w:val="002A5A6C"/>
    <w:rsid w:val="002B0410"/>
    <w:rsid w:val="002B7032"/>
    <w:rsid w:val="002B788B"/>
    <w:rsid w:val="002D159E"/>
    <w:rsid w:val="002D706D"/>
    <w:rsid w:val="002D7789"/>
    <w:rsid w:val="002E2D59"/>
    <w:rsid w:val="002E5B3C"/>
    <w:rsid w:val="002E7640"/>
    <w:rsid w:val="002F7DEF"/>
    <w:rsid w:val="003009EF"/>
    <w:rsid w:val="00307ADC"/>
    <w:rsid w:val="00312E49"/>
    <w:rsid w:val="00313123"/>
    <w:rsid w:val="00315913"/>
    <w:rsid w:val="00316854"/>
    <w:rsid w:val="003173C3"/>
    <w:rsid w:val="003177B1"/>
    <w:rsid w:val="003203D5"/>
    <w:rsid w:val="00323194"/>
    <w:rsid w:val="00326DD2"/>
    <w:rsid w:val="00333B9C"/>
    <w:rsid w:val="00333DB4"/>
    <w:rsid w:val="00345457"/>
    <w:rsid w:val="00354B1E"/>
    <w:rsid w:val="003635AD"/>
    <w:rsid w:val="00365EF4"/>
    <w:rsid w:val="0037449A"/>
    <w:rsid w:val="00374A91"/>
    <w:rsid w:val="003768A6"/>
    <w:rsid w:val="00383CAC"/>
    <w:rsid w:val="003B3A1A"/>
    <w:rsid w:val="003C33E1"/>
    <w:rsid w:val="003C7B34"/>
    <w:rsid w:val="003D3B3F"/>
    <w:rsid w:val="003F0AC1"/>
    <w:rsid w:val="0040156B"/>
    <w:rsid w:val="00411FFF"/>
    <w:rsid w:val="00413849"/>
    <w:rsid w:val="0041795A"/>
    <w:rsid w:val="004256CB"/>
    <w:rsid w:val="00440354"/>
    <w:rsid w:val="00441C6B"/>
    <w:rsid w:val="00446988"/>
    <w:rsid w:val="0045675C"/>
    <w:rsid w:val="00456DF6"/>
    <w:rsid w:val="00457919"/>
    <w:rsid w:val="004601C4"/>
    <w:rsid w:val="004737BD"/>
    <w:rsid w:val="004917BA"/>
    <w:rsid w:val="00496BA4"/>
    <w:rsid w:val="004B400E"/>
    <w:rsid w:val="004C3E4C"/>
    <w:rsid w:val="004C7BB8"/>
    <w:rsid w:val="004D1BAE"/>
    <w:rsid w:val="004D6F1B"/>
    <w:rsid w:val="004E3C64"/>
    <w:rsid w:val="004E4CC0"/>
    <w:rsid w:val="004E62DB"/>
    <w:rsid w:val="004F558B"/>
    <w:rsid w:val="00502707"/>
    <w:rsid w:val="0051351F"/>
    <w:rsid w:val="00516243"/>
    <w:rsid w:val="00535F1C"/>
    <w:rsid w:val="0055377B"/>
    <w:rsid w:val="00553D2F"/>
    <w:rsid w:val="005733AA"/>
    <w:rsid w:val="005741AA"/>
    <w:rsid w:val="0057446C"/>
    <w:rsid w:val="00585A98"/>
    <w:rsid w:val="00590487"/>
    <w:rsid w:val="00593E3F"/>
    <w:rsid w:val="0059467D"/>
    <w:rsid w:val="005A082D"/>
    <w:rsid w:val="005A44D3"/>
    <w:rsid w:val="005A62C1"/>
    <w:rsid w:val="005B525E"/>
    <w:rsid w:val="005C707A"/>
    <w:rsid w:val="005D56CF"/>
    <w:rsid w:val="005D5F81"/>
    <w:rsid w:val="005E4AA2"/>
    <w:rsid w:val="005E578F"/>
    <w:rsid w:val="005F1148"/>
    <w:rsid w:val="00602CCA"/>
    <w:rsid w:val="006102B9"/>
    <w:rsid w:val="0061295E"/>
    <w:rsid w:val="00616573"/>
    <w:rsid w:val="00616E76"/>
    <w:rsid w:val="00627C7C"/>
    <w:rsid w:val="00636540"/>
    <w:rsid w:val="00652B47"/>
    <w:rsid w:val="006652AB"/>
    <w:rsid w:val="0069468E"/>
    <w:rsid w:val="006A5114"/>
    <w:rsid w:val="006B0F14"/>
    <w:rsid w:val="006B7DF3"/>
    <w:rsid w:val="006C227B"/>
    <w:rsid w:val="006D172D"/>
    <w:rsid w:val="006D3A13"/>
    <w:rsid w:val="006E2448"/>
    <w:rsid w:val="007009AD"/>
    <w:rsid w:val="00721514"/>
    <w:rsid w:val="0072602E"/>
    <w:rsid w:val="007261F3"/>
    <w:rsid w:val="0073165D"/>
    <w:rsid w:val="00737048"/>
    <w:rsid w:val="007509C9"/>
    <w:rsid w:val="00756CBC"/>
    <w:rsid w:val="007709AF"/>
    <w:rsid w:val="00781EF7"/>
    <w:rsid w:val="007875CA"/>
    <w:rsid w:val="0079296A"/>
    <w:rsid w:val="007B197A"/>
    <w:rsid w:val="007B7273"/>
    <w:rsid w:val="007C6B48"/>
    <w:rsid w:val="007D07D0"/>
    <w:rsid w:val="007D0B9F"/>
    <w:rsid w:val="007D39E0"/>
    <w:rsid w:val="007D3FC1"/>
    <w:rsid w:val="007E7E1C"/>
    <w:rsid w:val="007F11C1"/>
    <w:rsid w:val="007F4130"/>
    <w:rsid w:val="0080522C"/>
    <w:rsid w:val="00807090"/>
    <w:rsid w:val="00807721"/>
    <w:rsid w:val="008339B2"/>
    <w:rsid w:val="00845709"/>
    <w:rsid w:val="00850E26"/>
    <w:rsid w:val="008541F9"/>
    <w:rsid w:val="00862764"/>
    <w:rsid w:val="00870AD1"/>
    <w:rsid w:val="00873CF3"/>
    <w:rsid w:val="00876344"/>
    <w:rsid w:val="00896ACB"/>
    <w:rsid w:val="008A19F5"/>
    <w:rsid w:val="008B3AE8"/>
    <w:rsid w:val="008B7E0F"/>
    <w:rsid w:val="008D4674"/>
    <w:rsid w:val="008D775F"/>
    <w:rsid w:val="008E21BA"/>
    <w:rsid w:val="008F2032"/>
    <w:rsid w:val="008F296B"/>
    <w:rsid w:val="008F7292"/>
    <w:rsid w:val="00906639"/>
    <w:rsid w:val="00911F16"/>
    <w:rsid w:val="00915AF4"/>
    <w:rsid w:val="009351AB"/>
    <w:rsid w:val="0094061F"/>
    <w:rsid w:val="00940A14"/>
    <w:rsid w:val="00947EE1"/>
    <w:rsid w:val="009649E5"/>
    <w:rsid w:val="0097075E"/>
    <w:rsid w:val="009722CB"/>
    <w:rsid w:val="00975DF5"/>
    <w:rsid w:val="00994B9B"/>
    <w:rsid w:val="009A4408"/>
    <w:rsid w:val="009A7FF3"/>
    <w:rsid w:val="009B2644"/>
    <w:rsid w:val="009B6D47"/>
    <w:rsid w:val="009C5A49"/>
    <w:rsid w:val="009D67AB"/>
    <w:rsid w:val="009F00A8"/>
    <w:rsid w:val="00A01678"/>
    <w:rsid w:val="00A1043E"/>
    <w:rsid w:val="00A105C9"/>
    <w:rsid w:val="00A1660B"/>
    <w:rsid w:val="00A16F34"/>
    <w:rsid w:val="00A210AA"/>
    <w:rsid w:val="00A2627D"/>
    <w:rsid w:val="00A34AEA"/>
    <w:rsid w:val="00A37A59"/>
    <w:rsid w:val="00A526DB"/>
    <w:rsid w:val="00A54C15"/>
    <w:rsid w:val="00A60421"/>
    <w:rsid w:val="00A641C0"/>
    <w:rsid w:val="00A71BEB"/>
    <w:rsid w:val="00A7583B"/>
    <w:rsid w:val="00A77D9F"/>
    <w:rsid w:val="00A8203D"/>
    <w:rsid w:val="00A8614C"/>
    <w:rsid w:val="00A866A5"/>
    <w:rsid w:val="00A90AD4"/>
    <w:rsid w:val="00A92DCA"/>
    <w:rsid w:val="00A9587C"/>
    <w:rsid w:val="00AA18D8"/>
    <w:rsid w:val="00AA571B"/>
    <w:rsid w:val="00AB12B4"/>
    <w:rsid w:val="00AB1B98"/>
    <w:rsid w:val="00AC09C4"/>
    <w:rsid w:val="00AD70C2"/>
    <w:rsid w:val="00AD713C"/>
    <w:rsid w:val="00AE1575"/>
    <w:rsid w:val="00AF470D"/>
    <w:rsid w:val="00AF6259"/>
    <w:rsid w:val="00B01F3B"/>
    <w:rsid w:val="00B1326C"/>
    <w:rsid w:val="00B15504"/>
    <w:rsid w:val="00B15AD4"/>
    <w:rsid w:val="00B27F36"/>
    <w:rsid w:val="00B32755"/>
    <w:rsid w:val="00B3622D"/>
    <w:rsid w:val="00B366F0"/>
    <w:rsid w:val="00B44F36"/>
    <w:rsid w:val="00B50806"/>
    <w:rsid w:val="00B76C9B"/>
    <w:rsid w:val="00B86B6A"/>
    <w:rsid w:val="00BA0DC7"/>
    <w:rsid w:val="00BA200D"/>
    <w:rsid w:val="00BA4DC1"/>
    <w:rsid w:val="00BB33D5"/>
    <w:rsid w:val="00BB3D45"/>
    <w:rsid w:val="00BB4D27"/>
    <w:rsid w:val="00BB73E3"/>
    <w:rsid w:val="00BD5FDD"/>
    <w:rsid w:val="00BF0795"/>
    <w:rsid w:val="00BF1FED"/>
    <w:rsid w:val="00BF2383"/>
    <w:rsid w:val="00C0316E"/>
    <w:rsid w:val="00C0354C"/>
    <w:rsid w:val="00C039F4"/>
    <w:rsid w:val="00C426A2"/>
    <w:rsid w:val="00C54D48"/>
    <w:rsid w:val="00C57EB6"/>
    <w:rsid w:val="00C60213"/>
    <w:rsid w:val="00C659F2"/>
    <w:rsid w:val="00C91BA6"/>
    <w:rsid w:val="00C92399"/>
    <w:rsid w:val="00C93814"/>
    <w:rsid w:val="00C94538"/>
    <w:rsid w:val="00C951F2"/>
    <w:rsid w:val="00CB6449"/>
    <w:rsid w:val="00CC3931"/>
    <w:rsid w:val="00CC68F0"/>
    <w:rsid w:val="00CD6DCF"/>
    <w:rsid w:val="00CF1B10"/>
    <w:rsid w:val="00CF24ED"/>
    <w:rsid w:val="00D0046C"/>
    <w:rsid w:val="00D02808"/>
    <w:rsid w:val="00D07901"/>
    <w:rsid w:val="00D145ED"/>
    <w:rsid w:val="00D157CD"/>
    <w:rsid w:val="00D22468"/>
    <w:rsid w:val="00D3607A"/>
    <w:rsid w:val="00D370B9"/>
    <w:rsid w:val="00D43C4F"/>
    <w:rsid w:val="00D45115"/>
    <w:rsid w:val="00D54AC2"/>
    <w:rsid w:val="00D66CFE"/>
    <w:rsid w:val="00D750CC"/>
    <w:rsid w:val="00D818B0"/>
    <w:rsid w:val="00D83354"/>
    <w:rsid w:val="00D83C03"/>
    <w:rsid w:val="00D92ED5"/>
    <w:rsid w:val="00DA0CEC"/>
    <w:rsid w:val="00DA2BFC"/>
    <w:rsid w:val="00DA2DF7"/>
    <w:rsid w:val="00DA59E5"/>
    <w:rsid w:val="00DE5E56"/>
    <w:rsid w:val="00DF136A"/>
    <w:rsid w:val="00DF3B2D"/>
    <w:rsid w:val="00DF3CB1"/>
    <w:rsid w:val="00E1749D"/>
    <w:rsid w:val="00E25979"/>
    <w:rsid w:val="00E44DF1"/>
    <w:rsid w:val="00E45E2E"/>
    <w:rsid w:val="00E71CD7"/>
    <w:rsid w:val="00E73E9A"/>
    <w:rsid w:val="00E874F3"/>
    <w:rsid w:val="00E95394"/>
    <w:rsid w:val="00EA0D55"/>
    <w:rsid w:val="00EC5119"/>
    <w:rsid w:val="00ED5668"/>
    <w:rsid w:val="00EE3FAC"/>
    <w:rsid w:val="00EF0214"/>
    <w:rsid w:val="00EF15BD"/>
    <w:rsid w:val="00EF326F"/>
    <w:rsid w:val="00F166B6"/>
    <w:rsid w:val="00F17357"/>
    <w:rsid w:val="00F26741"/>
    <w:rsid w:val="00F34491"/>
    <w:rsid w:val="00F40A5E"/>
    <w:rsid w:val="00F53803"/>
    <w:rsid w:val="00F550CA"/>
    <w:rsid w:val="00F66B10"/>
    <w:rsid w:val="00F70262"/>
    <w:rsid w:val="00F70CCE"/>
    <w:rsid w:val="00F75ABF"/>
    <w:rsid w:val="00F93CC0"/>
    <w:rsid w:val="00FA21BD"/>
    <w:rsid w:val="00FA50B8"/>
    <w:rsid w:val="00FB6A71"/>
    <w:rsid w:val="00FB7A74"/>
    <w:rsid w:val="00FC0D7B"/>
    <w:rsid w:val="00FC3F41"/>
    <w:rsid w:val="00FE005D"/>
    <w:rsid w:val="00FE629B"/>
    <w:rsid w:val="00FE7ED0"/>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217A65F9-1EDC-402B-84F7-E58ECED4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C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5B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16694B"/>
    <w:pPr>
      <w:ind w:left="720"/>
      <w:contextualSpacing/>
    </w:pPr>
  </w:style>
  <w:style w:type="paragraph" w:styleId="BalloonText">
    <w:name w:val="Balloon Text"/>
    <w:basedOn w:val="Normal"/>
    <w:link w:val="BalloonTextChar"/>
    <w:uiPriority w:val="99"/>
    <w:semiHidden/>
    <w:rsid w:val="008A19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19F5"/>
    <w:rPr>
      <w:rFonts w:ascii="Tahoma" w:hAnsi="Tahoma" w:cs="Tahoma"/>
      <w:sz w:val="16"/>
      <w:szCs w:val="16"/>
    </w:rPr>
  </w:style>
  <w:style w:type="paragraph" w:styleId="NormalWeb">
    <w:name w:val="Normal (Web)"/>
    <w:basedOn w:val="Normal"/>
    <w:uiPriority w:val="99"/>
    <w:semiHidden/>
    <w:rsid w:val="005B525E"/>
    <w:pPr>
      <w:spacing w:before="100" w:beforeAutospacing="1" w:after="100" w:afterAutospacing="1"/>
    </w:pPr>
    <w:rPr>
      <w:rFonts w:ascii="Times New Roman" w:eastAsia="Times New Roman" w:hAnsi="Times New Roman"/>
      <w:color w:val="000000"/>
      <w:sz w:val="24"/>
      <w:szCs w:val="24"/>
    </w:rPr>
  </w:style>
  <w:style w:type="character" w:styleId="Hyperlink">
    <w:name w:val="Hyperlink"/>
    <w:basedOn w:val="DefaultParagraphFont"/>
    <w:uiPriority w:val="99"/>
    <w:rsid w:val="00307ADC"/>
    <w:rPr>
      <w:rFonts w:cs="Times New Roman"/>
      <w:color w:val="0000FF"/>
      <w:u w:val="single"/>
    </w:rPr>
  </w:style>
  <w:style w:type="character" w:styleId="Emphasis">
    <w:name w:val="Emphasis"/>
    <w:basedOn w:val="DefaultParagraphFont"/>
    <w:uiPriority w:val="99"/>
    <w:qFormat/>
    <w:locked/>
    <w:rsid w:val="001B3912"/>
    <w:rPr>
      <w:rFonts w:cs="Times New Roman"/>
      <w:b/>
      <w:bCs/>
    </w:rPr>
  </w:style>
  <w:style w:type="paragraph" w:customStyle="1" w:styleId="body">
    <w:name w:val="body"/>
    <w:basedOn w:val="Normal"/>
    <w:uiPriority w:val="99"/>
    <w:rsid w:val="00D157CD"/>
    <w:pPr>
      <w:spacing w:before="100" w:beforeAutospacing="1" w:after="100" w:afterAutospacing="1"/>
    </w:pPr>
    <w:rPr>
      <w:rFonts w:ascii="Times New Roman" w:hAnsi="Times New Roman"/>
      <w:sz w:val="24"/>
      <w:szCs w:val="24"/>
    </w:rPr>
  </w:style>
  <w:style w:type="character" w:styleId="Strong">
    <w:name w:val="Strong"/>
    <w:basedOn w:val="DefaultParagraphFont"/>
    <w:uiPriority w:val="99"/>
    <w:qFormat/>
    <w:locked/>
    <w:rsid w:val="00D157C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068573">
      <w:marLeft w:val="0"/>
      <w:marRight w:val="0"/>
      <w:marTop w:val="0"/>
      <w:marBottom w:val="0"/>
      <w:divBdr>
        <w:top w:val="none" w:sz="0" w:space="0" w:color="auto"/>
        <w:left w:val="none" w:sz="0" w:space="0" w:color="auto"/>
        <w:bottom w:val="none" w:sz="0" w:space="0" w:color="auto"/>
        <w:right w:val="none" w:sz="0" w:space="0" w:color="auto"/>
      </w:divBdr>
    </w:div>
    <w:div w:id="1673068584">
      <w:marLeft w:val="0"/>
      <w:marRight w:val="0"/>
      <w:marTop w:val="0"/>
      <w:marBottom w:val="0"/>
      <w:divBdr>
        <w:top w:val="none" w:sz="0" w:space="0" w:color="auto"/>
        <w:left w:val="none" w:sz="0" w:space="0" w:color="auto"/>
        <w:bottom w:val="none" w:sz="0" w:space="0" w:color="auto"/>
        <w:right w:val="none" w:sz="0" w:space="0" w:color="auto"/>
      </w:divBdr>
      <w:divsChild>
        <w:div w:id="1673068576">
          <w:marLeft w:val="0"/>
          <w:marRight w:val="0"/>
          <w:marTop w:val="0"/>
          <w:marBottom w:val="0"/>
          <w:divBdr>
            <w:top w:val="none" w:sz="0" w:space="0" w:color="auto"/>
            <w:left w:val="single" w:sz="6" w:space="0" w:color="555555"/>
            <w:bottom w:val="single" w:sz="6" w:space="0" w:color="555555"/>
            <w:right w:val="single" w:sz="6" w:space="0" w:color="555555"/>
          </w:divBdr>
          <w:divsChild>
            <w:div w:id="1673068582">
              <w:marLeft w:val="3000"/>
              <w:marRight w:val="225"/>
              <w:marTop w:val="0"/>
              <w:marBottom w:val="0"/>
              <w:divBdr>
                <w:top w:val="none" w:sz="0" w:space="0" w:color="auto"/>
                <w:left w:val="none" w:sz="0" w:space="0" w:color="auto"/>
                <w:bottom w:val="none" w:sz="0" w:space="0" w:color="auto"/>
                <w:right w:val="none" w:sz="0" w:space="0" w:color="auto"/>
              </w:divBdr>
              <w:divsChild>
                <w:div w:id="16730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587">
      <w:marLeft w:val="0"/>
      <w:marRight w:val="0"/>
      <w:marTop w:val="0"/>
      <w:marBottom w:val="0"/>
      <w:divBdr>
        <w:top w:val="none" w:sz="0" w:space="0" w:color="auto"/>
        <w:left w:val="none" w:sz="0" w:space="0" w:color="auto"/>
        <w:bottom w:val="none" w:sz="0" w:space="0" w:color="auto"/>
        <w:right w:val="none" w:sz="0" w:space="0" w:color="auto"/>
      </w:divBdr>
      <w:divsChild>
        <w:div w:id="1673068574">
          <w:marLeft w:val="0"/>
          <w:marRight w:val="0"/>
          <w:marTop w:val="0"/>
          <w:marBottom w:val="0"/>
          <w:divBdr>
            <w:top w:val="none" w:sz="0" w:space="0" w:color="auto"/>
            <w:left w:val="single" w:sz="6" w:space="0" w:color="555555"/>
            <w:bottom w:val="single" w:sz="6" w:space="0" w:color="555555"/>
            <w:right w:val="single" w:sz="6" w:space="0" w:color="555555"/>
          </w:divBdr>
          <w:divsChild>
            <w:div w:id="1673068590">
              <w:marLeft w:val="3000"/>
              <w:marRight w:val="225"/>
              <w:marTop w:val="0"/>
              <w:marBottom w:val="0"/>
              <w:divBdr>
                <w:top w:val="none" w:sz="0" w:space="0" w:color="auto"/>
                <w:left w:val="none" w:sz="0" w:space="0" w:color="auto"/>
                <w:bottom w:val="none" w:sz="0" w:space="0" w:color="auto"/>
                <w:right w:val="none" w:sz="0" w:space="0" w:color="auto"/>
              </w:divBdr>
              <w:divsChild>
                <w:div w:id="16730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589">
      <w:marLeft w:val="0"/>
      <w:marRight w:val="0"/>
      <w:marTop w:val="0"/>
      <w:marBottom w:val="0"/>
      <w:divBdr>
        <w:top w:val="none" w:sz="0" w:space="0" w:color="auto"/>
        <w:left w:val="none" w:sz="0" w:space="0" w:color="auto"/>
        <w:bottom w:val="none" w:sz="0" w:space="0" w:color="auto"/>
        <w:right w:val="none" w:sz="0" w:space="0" w:color="auto"/>
      </w:divBdr>
      <w:divsChild>
        <w:div w:id="1673068580">
          <w:marLeft w:val="0"/>
          <w:marRight w:val="0"/>
          <w:marTop w:val="0"/>
          <w:marBottom w:val="0"/>
          <w:divBdr>
            <w:top w:val="none" w:sz="0" w:space="0" w:color="auto"/>
            <w:left w:val="none" w:sz="0" w:space="0" w:color="auto"/>
            <w:bottom w:val="none" w:sz="0" w:space="0" w:color="auto"/>
            <w:right w:val="none" w:sz="0" w:space="0" w:color="auto"/>
          </w:divBdr>
          <w:divsChild>
            <w:div w:id="1673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8592">
      <w:marLeft w:val="0"/>
      <w:marRight w:val="0"/>
      <w:marTop w:val="0"/>
      <w:marBottom w:val="0"/>
      <w:divBdr>
        <w:top w:val="none" w:sz="0" w:space="0" w:color="auto"/>
        <w:left w:val="none" w:sz="0" w:space="0" w:color="auto"/>
        <w:bottom w:val="none" w:sz="0" w:space="0" w:color="auto"/>
        <w:right w:val="none" w:sz="0" w:space="0" w:color="auto"/>
      </w:divBdr>
      <w:divsChild>
        <w:div w:id="1673068594">
          <w:marLeft w:val="0"/>
          <w:marRight w:val="0"/>
          <w:marTop w:val="0"/>
          <w:marBottom w:val="0"/>
          <w:divBdr>
            <w:top w:val="none" w:sz="0" w:space="0" w:color="auto"/>
            <w:left w:val="single" w:sz="6" w:space="0" w:color="555555"/>
            <w:bottom w:val="single" w:sz="6" w:space="0" w:color="555555"/>
            <w:right w:val="single" w:sz="6" w:space="0" w:color="555555"/>
          </w:divBdr>
          <w:divsChild>
            <w:div w:id="1673068581">
              <w:marLeft w:val="3000"/>
              <w:marRight w:val="225"/>
              <w:marTop w:val="0"/>
              <w:marBottom w:val="0"/>
              <w:divBdr>
                <w:top w:val="none" w:sz="0" w:space="0" w:color="auto"/>
                <w:left w:val="none" w:sz="0" w:space="0" w:color="auto"/>
                <w:bottom w:val="none" w:sz="0" w:space="0" w:color="auto"/>
                <w:right w:val="none" w:sz="0" w:space="0" w:color="auto"/>
              </w:divBdr>
              <w:divsChild>
                <w:div w:id="16730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593">
      <w:marLeft w:val="0"/>
      <w:marRight w:val="0"/>
      <w:marTop w:val="0"/>
      <w:marBottom w:val="0"/>
      <w:divBdr>
        <w:top w:val="none" w:sz="0" w:space="0" w:color="auto"/>
        <w:left w:val="none" w:sz="0" w:space="0" w:color="auto"/>
        <w:bottom w:val="none" w:sz="0" w:space="0" w:color="auto"/>
        <w:right w:val="none" w:sz="0" w:space="0" w:color="auto"/>
      </w:divBdr>
      <w:divsChild>
        <w:div w:id="1673068579">
          <w:marLeft w:val="0"/>
          <w:marRight w:val="0"/>
          <w:marTop w:val="0"/>
          <w:marBottom w:val="0"/>
          <w:divBdr>
            <w:top w:val="single" w:sz="24" w:space="0" w:color="C2C2C2"/>
            <w:left w:val="none" w:sz="0" w:space="0" w:color="auto"/>
            <w:bottom w:val="single" w:sz="36" w:space="0" w:color="C2C2C2"/>
            <w:right w:val="none" w:sz="0" w:space="0" w:color="auto"/>
          </w:divBdr>
          <w:divsChild>
            <w:div w:id="1673068575">
              <w:marLeft w:val="0"/>
              <w:marRight w:val="0"/>
              <w:marTop w:val="0"/>
              <w:marBottom w:val="0"/>
              <w:divBdr>
                <w:top w:val="none" w:sz="0" w:space="0" w:color="auto"/>
                <w:left w:val="none" w:sz="0" w:space="0" w:color="auto"/>
                <w:bottom w:val="none" w:sz="0" w:space="0" w:color="auto"/>
                <w:right w:val="none" w:sz="0" w:space="0" w:color="auto"/>
              </w:divBdr>
              <w:divsChild>
                <w:div w:id="1673068585">
                  <w:marLeft w:val="0"/>
                  <w:marRight w:val="0"/>
                  <w:marTop w:val="0"/>
                  <w:marBottom w:val="0"/>
                  <w:divBdr>
                    <w:top w:val="none" w:sz="0" w:space="0" w:color="auto"/>
                    <w:left w:val="none" w:sz="0" w:space="0" w:color="auto"/>
                    <w:bottom w:val="none" w:sz="0" w:space="0" w:color="auto"/>
                    <w:right w:val="none" w:sz="0" w:space="0" w:color="auto"/>
                  </w:divBdr>
                  <w:divsChild>
                    <w:div w:id="1673068595">
                      <w:marLeft w:val="0"/>
                      <w:marRight w:val="0"/>
                      <w:marTop w:val="0"/>
                      <w:marBottom w:val="0"/>
                      <w:divBdr>
                        <w:top w:val="none" w:sz="0" w:space="0" w:color="auto"/>
                        <w:left w:val="none" w:sz="0" w:space="0" w:color="auto"/>
                        <w:bottom w:val="none" w:sz="0" w:space="0" w:color="auto"/>
                        <w:right w:val="none" w:sz="0" w:space="0" w:color="auto"/>
                      </w:divBdr>
                      <w:divsChild>
                        <w:div w:id="1673068586">
                          <w:marLeft w:val="0"/>
                          <w:marRight w:val="0"/>
                          <w:marTop w:val="0"/>
                          <w:marBottom w:val="0"/>
                          <w:divBdr>
                            <w:top w:val="none" w:sz="0" w:space="0" w:color="auto"/>
                            <w:left w:val="none" w:sz="0" w:space="0" w:color="auto"/>
                            <w:bottom w:val="none" w:sz="0" w:space="0" w:color="auto"/>
                            <w:right w:val="none" w:sz="0" w:space="0" w:color="auto"/>
                          </w:divBdr>
                          <w:divsChild>
                            <w:div w:id="1673068596">
                              <w:marLeft w:val="0"/>
                              <w:marRight w:val="0"/>
                              <w:marTop w:val="0"/>
                              <w:marBottom w:val="0"/>
                              <w:divBdr>
                                <w:top w:val="none" w:sz="0" w:space="0" w:color="auto"/>
                                <w:left w:val="none" w:sz="0" w:space="0" w:color="auto"/>
                                <w:bottom w:val="none" w:sz="0" w:space="0" w:color="auto"/>
                                <w:right w:val="none" w:sz="0" w:space="0" w:color="auto"/>
                              </w:divBdr>
                              <w:divsChild>
                                <w:div w:id="1673068597">
                                  <w:marLeft w:val="0"/>
                                  <w:marRight w:val="0"/>
                                  <w:marTop w:val="0"/>
                                  <w:marBottom w:val="150"/>
                                  <w:divBdr>
                                    <w:top w:val="none" w:sz="0" w:space="0" w:color="auto"/>
                                    <w:left w:val="none" w:sz="0" w:space="0" w:color="auto"/>
                                    <w:bottom w:val="none" w:sz="0" w:space="0" w:color="auto"/>
                                    <w:right w:val="none" w:sz="0" w:space="0" w:color="auto"/>
                                  </w:divBdr>
                                  <w:divsChild>
                                    <w:div w:id="16730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assessment-matrix-cut-out</vt:lpstr>
    </vt:vector>
  </TitlesOfParts>
  <Company>Virginia Beach City Public</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assessment-matrix-cut-out</dc:title>
  <dc:creator>tlmazzac</dc:creator>
  <cp:lastModifiedBy>VITA Program</cp:lastModifiedBy>
  <cp:revision>2</cp:revision>
  <cp:lastPrinted>2019-05-07T12:20:00Z</cp:lastPrinted>
  <dcterms:created xsi:type="dcterms:W3CDTF">2022-11-17T19:07:00Z</dcterms:created>
  <dcterms:modified xsi:type="dcterms:W3CDTF">2022-11-17T19:07:00Z</dcterms:modified>
</cp:coreProperties>
</file>