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03" w:rsidRPr="00451CCC" w:rsidRDefault="001F3503" w:rsidP="001F3503">
      <w:pPr>
        <w:spacing w:after="0" w:line="240" w:lineRule="auto"/>
        <w:jc w:val="center"/>
        <w:rPr>
          <w:rFonts w:ascii="Times New Roman" w:hAnsi="Times New Roman"/>
          <w:sz w:val="28"/>
          <w:szCs w:val="28"/>
        </w:rPr>
      </w:pPr>
      <w:r>
        <w:rPr>
          <w:rFonts w:ascii="Times New Roman" w:hAnsi="Times New Roman"/>
          <w:sz w:val="28"/>
          <w:szCs w:val="28"/>
        </w:rPr>
        <w:t>Department o</w:t>
      </w:r>
      <w:r w:rsidRPr="00451CCC">
        <w:rPr>
          <w:rFonts w:ascii="Times New Roman" w:hAnsi="Times New Roman"/>
          <w:sz w:val="28"/>
          <w:szCs w:val="28"/>
        </w:rPr>
        <w:t>f Education</w:t>
      </w:r>
    </w:p>
    <w:p w:rsidR="001F3503" w:rsidRPr="00451CCC" w:rsidRDefault="001F3503" w:rsidP="001F3503">
      <w:pPr>
        <w:spacing w:after="0" w:line="240" w:lineRule="auto"/>
        <w:jc w:val="center"/>
        <w:rPr>
          <w:rFonts w:ascii="Times New Roman" w:hAnsi="Times New Roman"/>
          <w:sz w:val="28"/>
          <w:szCs w:val="28"/>
        </w:rPr>
      </w:pPr>
      <w:r w:rsidRPr="00451CCC">
        <w:rPr>
          <w:rFonts w:ascii="Times New Roman" w:hAnsi="Times New Roman"/>
          <w:sz w:val="28"/>
          <w:szCs w:val="28"/>
        </w:rPr>
        <w:t>P. O. Box 2120</w:t>
      </w:r>
    </w:p>
    <w:p w:rsidR="001F3503" w:rsidRPr="00451CCC" w:rsidRDefault="001F3503" w:rsidP="001F3503">
      <w:pPr>
        <w:spacing w:after="0" w:line="240" w:lineRule="auto"/>
        <w:jc w:val="center"/>
        <w:rPr>
          <w:rFonts w:ascii="Times New Roman" w:hAnsi="Times New Roman"/>
          <w:sz w:val="28"/>
          <w:szCs w:val="28"/>
        </w:rPr>
      </w:pPr>
      <w:r w:rsidRPr="00451CCC">
        <w:rPr>
          <w:rFonts w:ascii="Times New Roman" w:hAnsi="Times New Roman"/>
          <w:sz w:val="28"/>
          <w:szCs w:val="28"/>
        </w:rPr>
        <w:t>Richmond, Virginia 23218-2120</w:t>
      </w:r>
    </w:p>
    <w:p w:rsidR="001F3503" w:rsidRPr="00451CCC" w:rsidRDefault="001F3503" w:rsidP="001F3503">
      <w:pPr>
        <w:spacing w:after="0" w:line="240" w:lineRule="auto"/>
        <w:jc w:val="center"/>
        <w:rPr>
          <w:rFonts w:ascii="Times New Roman" w:hAnsi="Times New Roman"/>
          <w:sz w:val="28"/>
          <w:szCs w:val="28"/>
        </w:rPr>
      </w:pPr>
    </w:p>
    <w:p w:rsidR="00F879DE" w:rsidRPr="001F3503" w:rsidRDefault="00F879DE" w:rsidP="001F3503">
      <w:pPr>
        <w:pStyle w:val="Heading1"/>
      </w:pPr>
      <w:r w:rsidRPr="001F3503">
        <w:t xml:space="preserve">CAREER AND </w:t>
      </w:r>
      <w:r w:rsidR="00FC2D45" w:rsidRPr="001F3503">
        <w:t xml:space="preserve">TECHNICAL EDUCATION MEMO NO. </w:t>
      </w:r>
      <w:r w:rsidR="00566FF5" w:rsidRPr="001F3503">
        <w:t>081</w:t>
      </w:r>
      <w:r w:rsidRPr="001F3503">
        <w:t>-1</w:t>
      </w:r>
      <w:r w:rsidR="00FC2D45" w:rsidRPr="001F3503">
        <w:t>5</w:t>
      </w:r>
    </w:p>
    <w:p w:rsidR="00F879DE" w:rsidRPr="00996ECB" w:rsidRDefault="00F879DE" w:rsidP="001F3503">
      <w:pPr>
        <w:spacing w:after="0" w:line="240" w:lineRule="auto"/>
        <w:rPr>
          <w:rFonts w:ascii="Times New Roman" w:hAnsi="Times New Roman"/>
          <w:sz w:val="24"/>
          <w:szCs w:val="24"/>
        </w:rPr>
      </w:pPr>
    </w:p>
    <w:p w:rsidR="006F4B95" w:rsidRPr="0040679C" w:rsidRDefault="00F879DE" w:rsidP="001F3503">
      <w:pPr>
        <w:pStyle w:val="NormalWeb"/>
        <w:spacing w:before="0" w:beforeAutospacing="0" w:after="0" w:afterAutospacing="0"/>
      </w:pPr>
      <w:r w:rsidRPr="0040679C">
        <w:rPr>
          <w:b/>
        </w:rPr>
        <w:t>DATE:</w:t>
      </w:r>
      <w:r w:rsidR="0040679C">
        <w:tab/>
      </w:r>
      <w:r w:rsidRPr="0040679C">
        <w:t>January 9, 2015</w:t>
      </w:r>
    </w:p>
    <w:p w:rsidR="00326BF4" w:rsidRPr="0040679C" w:rsidRDefault="00326BF4" w:rsidP="001F3503">
      <w:pPr>
        <w:pStyle w:val="NormalWeb"/>
        <w:spacing w:before="0" w:beforeAutospacing="0" w:after="0" w:afterAutospacing="0"/>
        <w:rPr>
          <w:b/>
        </w:rPr>
      </w:pPr>
    </w:p>
    <w:p w:rsidR="00F879DE" w:rsidRPr="0040679C" w:rsidRDefault="00F879DE" w:rsidP="001F3503">
      <w:pPr>
        <w:pStyle w:val="NormalWeb"/>
        <w:spacing w:before="0" w:beforeAutospacing="0" w:after="0" w:afterAutospacing="0"/>
      </w:pPr>
      <w:r w:rsidRPr="0040679C">
        <w:rPr>
          <w:b/>
        </w:rPr>
        <w:t>TO:</w:t>
      </w:r>
      <w:r w:rsidRPr="0040679C">
        <w:t xml:space="preserve"> </w:t>
      </w:r>
      <w:r w:rsidRPr="0040679C">
        <w:tab/>
      </w:r>
      <w:r w:rsidRPr="0040679C">
        <w:tab/>
        <w:t>CTE Administrators</w:t>
      </w:r>
    </w:p>
    <w:p w:rsidR="006F4B95" w:rsidRPr="0040679C" w:rsidRDefault="006F4B95" w:rsidP="001F3503">
      <w:pPr>
        <w:pStyle w:val="NormalWeb"/>
        <w:spacing w:before="0" w:beforeAutospacing="0" w:after="0" w:afterAutospacing="0"/>
      </w:pPr>
    </w:p>
    <w:p w:rsidR="00F879DE" w:rsidRPr="0040679C" w:rsidRDefault="00F879DE" w:rsidP="001F3503">
      <w:pPr>
        <w:pStyle w:val="NormalWeb"/>
        <w:spacing w:before="0" w:beforeAutospacing="0" w:after="0" w:afterAutospacing="0"/>
      </w:pPr>
      <w:r w:rsidRPr="0040679C">
        <w:rPr>
          <w:b/>
        </w:rPr>
        <w:t>FROM:</w:t>
      </w:r>
      <w:r w:rsidR="000B034A" w:rsidRPr="0040679C">
        <w:t xml:space="preserve"> </w:t>
      </w:r>
      <w:r w:rsidRPr="0040679C">
        <w:tab/>
        <w:t>Lolita B. Hall, Director</w:t>
      </w:r>
    </w:p>
    <w:p w:rsidR="00F879DE" w:rsidRPr="0040679C" w:rsidRDefault="00F879DE" w:rsidP="001F3503">
      <w:pPr>
        <w:pStyle w:val="NormalWeb"/>
        <w:spacing w:before="0" w:beforeAutospacing="0" w:after="0" w:afterAutospacing="0"/>
      </w:pPr>
      <w:r w:rsidRPr="0040679C">
        <w:tab/>
      </w:r>
      <w:r w:rsidRPr="0040679C">
        <w:tab/>
        <w:t>Office of Career and Technical Education Services</w:t>
      </w:r>
    </w:p>
    <w:p w:rsidR="00F879DE" w:rsidRPr="001F3503" w:rsidRDefault="00F879DE" w:rsidP="001F3503">
      <w:pPr>
        <w:spacing w:after="0" w:line="240" w:lineRule="auto"/>
        <w:rPr>
          <w:rFonts w:ascii="Times New Roman" w:hAnsi="Times New Roman"/>
          <w:sz w:val="24"/>
          <w:szCs w:val="24"/>
        </w:rPr>
      </w:pPr>
    </w:p>
    <w:p w:rsidR="00F879DE" w:rsidRPr="00996ECB" w:rsidRDefault="00F879DE" w:rsidP="00F01D3B">
      <w:pPr>
        <w:pStyle w:val="Heading2"/>
        <w:ind w:left="1430" w:hanging="1430"/>
      </w:pPr>
      <w:r w:rsidRPr="00996ECB">
        <w:t>SUBJECT:</w:t>
      </w:r>
      <w:r w:rsidRPr="00996ECB">
        <w:tab/>
        <w:t>Use of Perkins Federal Funds for Career and Technical Student Organizations</w:t>
      </w:r>
    </w:p>
    <w:p w:rsidR="006F4B95" w:rsidRPr="00C61F0C" w:rsidRDefault="006F4B95" w:rsidP="00C61F0C">
      <w:pPr>
        <w:pStyle w:val="NoSpacing"/>
        <w:rPr>
          <w:rFonts w:ascii="Times New Roman" w:hAnsi="Times New Roman"/>
          <w:sz w:val="24"/>
          <w:szCs w:val="24"/>
        </w:rPr>
      </w:pPr>
    </w:p>
    <w:p w:rsidR="001271F7" w:rsidRPr="00C61F0C" w:rsidRDefault="001271F7" w:rsidP="00C61F0C">
      <w:pPr>
        <w:pStyle w:val="NoSpacing"/>
        <w:rPr>
          <w:rFonts w:ascii="Times New Roman" w:hAnsi="Times New Roman"/>
          <w:sz w:val="24"/>
          <w:szCs w:val="24"/>
        </w:rPr>
      </w:pPr>
      <w:r w:rsidRPr="00C61F0C">
        <w:rPr>
          <w:rFonts w:ascii="Times New Roman" w:hAnsi="Times New Roman"/>
          <w:sz w:val="24"/>
          <w:szCs w:val="24"/>
        </w:rPr>
        <w:t>On December 19, 2014, a Superintendent’s E</w:t>
      </w:r>
      <w:r w:rsidR="006C1C65" w:rsidRPr="00C61F0C">
        <w:rPr>
          <w:rFonts w:ascii="Times New Roman" w:hAnsi="Times New Roman"/>
          <w:sz w:val="24"/>
          <w:szCs w:val="24"/>
        </w:rPr>
        <w:t>-</w:t>
      </w:r>
      <w:r w:rsidRPr="00C61F0C">
        <w:rPr>
          <w:rFonts w:ascii="Times New Roman" w:hAnsi="Times New Roman"/>
          <w:sz w:val="24"/>
          <w:szCs w:val="24"/>
        </w:rPr>
        <w:t>mail</w:t>
      </w:r>
      <w:r w:rsidR="006C1C65" w:rsidRPr="00C61F0C">
        <w:rPr>
          <w:rFonts w:ascii="Times New Roman" w:hAnsi="Times New Roman"/>
          <w:sz w:val="24"/>
          <w:szCs w:val="24"/>
        </w:rPr>
        <w:t xml:space="preserve"> </w:t>
      </w:r>
      <w:r w:rsidR="00B14ABC" w:rsidRPr="00C61F0C">
        <w:rPr>
          <w:rFonts w:ascii="Times New Roman" w:hAnsi="Times New Roman"/>
          <w:sz w:val="24"/>
          <w:szCs w:val="24"/>
        </w:rPr>
        <w:t xml:space="preserve">was </w:t>
      </w:r>
      <w:r w:rsidR="006C1C65" w:rsidRPr="00C61F0C">
        <w:rPr>
          <w:rFonts w:ascii="Times New Roman" w:hAnsi="Times New Roman"/>
          <w:sz w:val="24"/>
          <w:szCs w:val="24"/>
        </w:rPr>
        <w:t xml:space="preserve">issued </w:t>
      </w:r>
      <w:r w:rsidRPr="00C61F0C">
        <w:rPr>
          <w:rFonts w:ascii="Times New Roman" w:hAnsi="Times New Roman"/>
          <w:sz w:val="24"/>
          <w:szCs w:val="24"/>
        </w:rPr>
        <w:t>to school division superintendents</w:t>
      </w:r>
      <w:r w:rsidR="005C025A" w:rsidRPr="00C61F0C">
        <w:rPr>
          <w:rFonts w:ascii="Times New Roman" w:hAnsi="Times New Roman"/>
          <w:sz w:val="24"/>
          <w:szCs w:val="24"/>
        </w:rPr>
        <w:t xml:space="preserve"> </w:t>
      </w:r>
      <w:r w:rsidR="006C1C65" w:rsidRPr="00C61F0C">
        <w:rPr>
          <w:rFonts w:ascii="Times New Roman" w:hAnsi="Times New Roman"/>
          <w:sz w:val="24"/>
          <w:szCs w:val="24"/>
        </w:rPr>
        <w:t>that included the following information</w:t>
      </w:r>
      <w:r w:rsidRPr="00C61F0C">
        <w:rPr>
          <w:rFonts w:ascii="Times New Roman" w:hAnsi="Times New Roman"/>
          <w:sz w:val="24"/>
          <w:szCs w:val="24"/>
        </w:rPr>
        <w:t>:</w:t>
      </w:r>
    </w:p>
    <w:p w:rsidR="000B034A" w:rsidRPr="00C61F0C" w:rsidRDefault="000B034A" w:rsidP="00C61F0C">
      <w:pPr>
        <w:pStyle w:val="NoSpacing"/>
        <w:rPr>
          <w:rFonts w:ascii="Times New Roman" w:hAnsi="Times New Roman"/>
          <w:sz w:val="24"/>
          <w:szCs w:val="24"/>
        </w:rPr>
      </w:pPr>
    </w:p>
    <w:p w:rsidR="00C042D5" w:rsidRPr="00C61F0C" w:rsidRDefault="00C042D5" w:rsidP="00C61F0C">
      <w:pPr>
        <w:pStyle w:val="NoSpacing"/>
        <w:rPr>
          <w:rFonts w:ascii="Times New Roman" w:hAnsi="Times New Roman"/>
          <w:sz w:val="24"/>
          <w:szCs w:val="24"/>
        </w:rPr>
      </w:pPr>
      <w:r w:rsidRPr="00C61F0C">
        <w:rPr>
          <w:rFonts w:ascii="Times New Roman" w:hAnsi="Times New Roman"/>
          <w:sz w:val="24"/>
          <w:szCs w:val="24"/>
        </w:rPr>
        <w:t>Effective immediately, all previous guidance pertaining to use of federal Perkins funds for reimbursement of travel pertaining to Career and Technical Student Organizations (CTSO) expenditures is rescinded.</w:t>
      </w:r>
    </w:p>
    <w:p w:rsidR="00C042D5" w:rsidRPr="00C61F0C" w:rsidRDefault="00C042D5" w:rsidP="00C61F0C">
      <w:pPr>
        <w:pStyle w:val="NoSpacing"/>
        <w:rPr>
          <w:rFonts w:ascii="Times New Roman" w:hAnsi="Times New Roman"/>
          <w:sz w:val="24"/>
          <w:szCs w:val="24"/>
        </w:rPr>
      </w:pPr>
    </w:p>
    <w:p w:rsidR="00C042D5" w:rsidRPr="001F3503" w:rsidRDefault="00C042D5" w:rsidP="001F3503">
      <w:pPr>
        <w:spacing w:after="0" w:line="240" w:lineRule="auto"/>
        <w:rPr>
          <w:rFonts w:ascii="Times New Roman" w:hAnsi="Times New Roman"/>
          <w:sz w:val="24"/>
          <w:szCs w:val="24"/>
        </w:rPr>
      </w:pPr>
      <w:r w:rsidRPr="00C61F0C">
        <w:rPr>
          <w:rFonts w:ascii="Times New Roman" w:hAnsi="Times New Roman"/>
          <w:sz w:val="24"/>
          <w:szCs w:val="24"/>
        </w:rPr>
        <w:t>During a recent visit</w:t>
      </w:r>
      <w:r w:rsidRPr="001F3503">
        <w:rPr>
          <w:rFonts w:ascii="Times New Roman" w:hAnsi="Times New Roman"/>
          <w:sz w:val="24"/>
          <w:szCs w:val="24"/>
        </w:rPr>
        <w:t xml:space="preserve"> by a U. S. Department of Education Monitoring Team, the following question was asked about the use of Perkins federal funds for CTSO expenditures:</w:t>
      </w:r>
    </w:p>
    <w:p w:rsidR="00C042D5" w:rsidRPr="001F3503" w:rsidRDefault="00C042D5" w:rsidP="001F3503">
      <w:pPr>
        <w:spacing w:after="0" w:line="240" w:lineRule="auto"/>
        <w:rPr>
          <w:rFonts w:ascii="Times New Roman" w:hAnsi="Times New Roman"/>
          <w:sz w:val="24"/>
          <w:szCs w:val="24"/>
        </w:rPr>
      </w:pPr>
    </w:p>
    <w:p w:rsidR="00C042D5" w:rsidRPr="00C042D5" w:rsidRDefault="00C042D5" w:rsidP="00C042D5">
      <w:pPr>
        <w:spacing w:after="0" w:line="240" w:lineRule="auto"/>
        <w:ind w:left="630" w:right="900"/>
        <w:rPr>
          <w:rFonts w:ascii="Times New Roman" w:hAnsi="Times New Roman"/>
          <w:sz w:val="24"/>
          <w:szCs w:val="24"/>
        </w:rPr>
      </w:pPr>
      <w:r w:rsidRPr="00C042D5">
        <w:rPr>
          <w:rFonts w:ascii="Times New Roman" w:hAnsi="Times New Roman"/>
          <w:sz w:val="24"/>
          <w:szCs w:val="24"/>
          <w:u w:val="single"/>
        </w:rPr>
        <w:t>Question</w:t>
      </w:r>
      <w:r w:rsidRPr="00C042D5">
        <w:rPr>
          <w:rFonts w:ascii="Times New Roman" w:hAnsi="Times New Roman"/>
          <w:sz w:val="24"/>
          <w:szCs w:val="24"/>
        </w:rPr>
        <w:t>: May Perkins IV funds be used to support student transportation to, and lodging and meals at, technical skill competitions as part of state and national career and technical student organization (CTSO) conventions?</w:t>
      </w:r>
    </w:p>
    <w:p w:rsidR="00C042D5" w:rsidRPr="00C042D5" w:rsidRDefault="00C042D5" w:rsidP="00C042D5">
      <w:pPr>
        <w:spacing w:after="0" w:line="240" w:lineRule="auto"/>
        <w:ind w:left="630" w:right="900"/>
        <w:rPr>
          <w:rFonts w:ascii="Times New Roman" w:hAnsi="Times New Roman"/>
          <w:sz w:val="24"/>
          <w:szCs w:val="24"/>
        </w:rPr>
      </w:pPr>
    </w:p>
    <w:p w:rsidR="00C042D5" w:rsidRPr="00C042D5" w:rsidRDefault="00C042D5" w:rsidP="00C042D5">
      <w:pPr>
        <w:spacing w:after="0" w:line="240" w:lineRule="auto"/>
        <w:ind w:left="630" w:right="900"/>
        <w:rPr>
          <w:rFonts w:ascii="Times New Roman" w:hAnsi="Times New Roman"/>
          <w:sz w:val="24"/>
          <w:szCs w:val="24"/>
        </w:rPr>
      </w:pPr>
      <w:r w:rsidRPr="00C042D5">
        <w:rPr>
          <w:rFonts w:ascii="Times New Roman" w:hAnsi="Times New Roman"/>
          <w:sz w:val="24"/>
          <w:szCs w:val="24"/>
          <w:u w:val="single"/>
        </w:rPr>
        <w:t>Answer</w:t>
      </w:r>
      <w:r w:rsidRPr="00C042D5">
        <w:rPr>
          <w:rFonts w:ascii="Times New Roman" w:hAnsi="Times New Roman"/>
          <w:sz w:val="24"/>
          <w:szCs w:val="24"/>
        </w:rPr>
        <w:t>: No, except in certain limited circumstances as described in the last paragraph of this answer.  The Department’s long-standing interpretation regarding the types of CTSO cost that may be paid from Federal grant funds is that Perkins funds used for support of CTSOs may not be used for lodging, feeding, conveying, or furnishing transportation to conventions or other forms of social assemblage.</w:t>
      </w:r>
    </w:p>
    <w:p w:rsidR="00C042D5" w:rsidRPr="00C042D5" w:rsidRDefault="00C042D5" w:rsidP="00C042D5">
      <w:pPr>
        <w:spacing w:after="0" w:line="240" w:lineRule="auto"/>
        <w:ind w:left="630" w:right="900"/>
        <w:rPr>
          <w:rFonts w:ascii="Times New Roman" w:hAnsi="Times New Roman"/>
          <w:sz w:val="24"/>
          <w:szCs w:val="24"/>
        </w:rPr>
      </w:pPr>
    </w:p>
    <w:p w:rsidR="00C042D5" w:rsidRPr="00C042D5" w:rsidRDefault="00C042D5" w:rsidP="00C042D5">
      <w:pPr>
        <w:spacing w:after="0" w:line="240" w:lineRule="auto"/>
        <w:ind w:left="630" w:right="900"/>
        <w:rPr>
          <w:rFonts w:ascii="Times New Roman" w:hAnsi="Times New Roman"/>
          <w:sz w:val="24"/>
          <w:szCs w:val="24"/>
        </w:rPr>
      </w:pPr>
      <w:r w:rsidRPr="00C042D5">
        <w:rPr>
          <w:rFonts w:ascii="Times New Roman" w:hAnsi="Times New Roman"/>
          <w:sz w:val="24"/>
          <w:szCs w:val="24"/>
        </w:rPr>
        <w:t>Perkins funds may be used for these types of direct assistance if the costs are (1) related to a CTSO that is an integral part of the curriculum, and (2) part of a larger program to serve special populations or non-traditional students.</w:t>
      </w:r>
    </w:p>
    <w:p w:rsidR="00C042D5" w:rsidRPr="00C042D5" w:rsidRDefault="00C042D5" w:rsidP="00C042D5">
      <w:pPr>
        <w:spacing w:after="0" w:line="240" w:lineRule="auto"/>
        <w:ind w:left="630" w:right="900"/>
        <w:rPr>
          <w:rFonts w:ascii="Times New Roman" w:hAnsi="Times New Roman"/>
          <w:sz w:val="24"/>
          <w:szCs w:val="24"/>
        </w:rPr>
      </w:pPr>
    </w:p>
    <w:p w:rsidR="00C042D5" w:rsidRPr="00C042D5" w:rsidRDefault="00C042D5" w:rsidP="00C042D5">
      <w:pPr>
        <w:spacing w:after="0" w:line="240" w:lineRule="auto"/>
        <w:rPr>
          <w:rFonts w:ascii="Times New Roman" w:hAnsi="Times New Roman"/>
          <w:sz w:val="24"/>
          <w:szCs w:val="24"/>
        </w:rPr>
      </w:pPr>
      <w:r w:rsidRPr="00C042D5">
        <w:rPr>
          <w:rFonts w:ascii="Times New Roman" w:hAnsi="Times New Roman"/>
          <w:sz w:val="24"/>
          <w:szCs w:val="24"/>
        </w:rPr>
        <w:t>Based on the above guidance, school divisions must ensure that any request for CTSO reimbursement through Perkins funds shall comply with this guidance for implementation of the Carl D. Perkins Career and Technical Education Act of 2006 (Perkins IV).</w:t>
      </w:r>
    </w:p>
    <w:p w:rsidR="00C042D5" w:rsidRPr="00C042D5" w:rsidRDefault="00C042D5" w:rsidP="001271F7">
      <w:pPr>
        <w:spacing w:after="0" w:line="240" w:lineRule="auto"/>
        <w:rPr>
          <w:rFonts w:ascii="Times New Roman" w:hAnsi="Times New Roman"/>
          <w:sz w:val="24"/>
          <w:szCs w:val="24"/>
        </w:rPr>
      </w:pPr>
    </w:p>
    <w:p w:rsidR="00C042D5" w:rsidRDefault="00C042D5">
      <w:pPr>
        <w:rPr>
          <w:rFonts w:ascii="Times New Roman" w:hAnsi="Times New Roman"/>
          <w:sz w:val="24"/>
          <w:szCs w:val="24"/>
        </w:rPr>
      </w:pPr>
    </w:p>
    <w:p w:rsidR="0040679C" w:rsidRPr="0040679C" w:rsidRDefault="0040679C">
      <w:pPr>
        <w:rPr>
          <w:rFonts w:ascii="Times New Roman" w:hAnsi="Times New Roman"/>
          <w:sz w:val="24"/>
          <w:szCs w:val="24"/>
        </w:rPr>
        <w:sectPr w:rsidR="0040679C" w:rsidRPr="0040679C" w:rsidSect="0040679C">
          <w:footerReference w:type="default" r:id="rId8"/>
          <w:pgSz w:w="12240" w:h="15840"/>
          <w:pgMar w:top="1440" w:right="1440" w:bottom="864" w:left="1440" w:header="288" w:footer="720" w:gutter="0"/>
          <w:cols w:space="720"/>
          <w:titlePg/>
          <w:docGrid w:linePitch="360"/>
        </w:sectPr>
      </w:pPr>
    </w:p>
    <w:p w:rsidR="00525904" w:rsidRPr="00C042D5" w:rsidRDefault="00525904" w:rsidP="00C042D5">
      <w:pPr>
        <w:spacing w:after="0" w:line="240" w:lineRule="auto"/>
        <w:rPr>
          <w:rFonts w:ascii="Times New Roman" w:hAnsi="Times New Roman"/>
          <w:sz w:val="24"/>
          <w:szCs w:val="24"/>
        </w:rPr>
      </w:pPr>
      <w:r w:rsidRPr="00C042D5">
        <w:rPr>
          <w:rFonts w:ascii="Times New Roman" w:hAnsi="Times New Roman"/>
          <w:sz w:val="24"/>
          <w:szCs w:val="24"/>
        </w:rPr>
        <w:lastRenderedPageBreak/>
        <w:t>The career and technical student organizations include:</w:t>
      </w:r>
    </w:p>
    <w:p w:rsidR="00525904" w:rsidRPr="00C042D5" w:rsidRDefault="00525904" w:rsidP="00C042D5">
      <w:pPr>
        <w:tabs>
          <w:tab w:val="left" w:pos="360"/>
          <w:tab w:val="left" w:pos="720"/>
          <w:tab w:val="left" w:pos="1080"/>
          <w:tab w:val="left" w:pos="1650"/>
        </w:tabs>
        <w:spacing w:after="0" w:line="240" w:lineRule="auto"/>
        <w:ind w:left="360"/>
        <w:rPr>
          <w:rFonts w:ascii="Times New Roman" w:hAnsi="Times New Roman"/>
          <w:sz w:val="24"/>
          <w:szCs w:val="24"/>
        </w:rPr>
      </w:pPr>
      <w:r w:rsidRPr="00C042D5">
        <w:rPr>
          <w:rFonts w:ascii="Times New Roman" w:hAnsi="Times New Roman"/>
          <w:sz w:val="24"/>
          <w:szCs w:val="24"/>
        </w:rPr>
        <w:t>FBLA</w:t>
      </w:r>
      <w:r w:rsidRPr="00C042D5">
        <w:rPr>
          <w:rFonts w:ascii="Times New Roman" w:hAnsi="Times New Roman"/>
          <w:sz w:val="24"/>
          <w:szCs w:val="24"/>
        </w:rPr>
        <w:tab/>
      </w:r>
      <w:r w:rsidRPr="00C042D5">
        <w:rPr>
          <w:rFonts w:ascii="Times New Roman" w:hAnsi="Times New Roman"/>
          <w:sz w:val="24"/>
          <w:szCs w:val="24"/>
        </w:rPr>
        <w:tab/>
        <w:t>Future Business Leaders of America</w:t>
      </w:r>
    </w:p>
    <w:p w:rsidR="00861BB9" w:rsidRPr="00C042D5" w:rsidRDefault="00861BB9" w:rsidP="00C042D5">
      <w:pPr>
        <w:tabs>
          <w:tab w:val="left" w:pos="360"/>
          <w:tab w:val="left" w:pos="720"/>
          <w:tab w:val="left" w:pos="1080"/>
          <w:tab w:val="left" w:pos="1650"/>
        </w:tabs>
        <w:spacing w:after="0" w:line="240" w:lineRule="auto"/>
        <w:ind w:left="360"/>
        <w:rPr>
          <w:rFonts w:ascii="Times New Roman" w:hAnsi="Times New Roman"/>
          <w:sz w:val="24"/>
          <w:szCs w:val="24"/>
        </w:rPr>
      </w:pPr>
      <w:r w:rsidRPr="00C042D5">
        <w:rPr>
          <w:rFonts w:ascii="Times New Roman" w:hAnsi="Times New Roman"/>
          <w:sz w:val="24"/>
          <w:szCs w:val="24"/>
        </w:rPr>
        <w:t>FEA</w:t>
      </w:r>
      <w:r w:rsidRPr="00C042D5">
        <w:rPr>
          <w:rFonts w:ascii="Times New Roman" w:hAnsi="Times New Roman"/>
          <w:sz w:val="24"/>
          <w:szCs w:val="24"/>
        </w:rPr>
        <w:tab/>
      </w:r>
      <w:r w:rsidRPr="00C042D5">
        <w:rPr>
          <w:rFonts w:ascii="Times New Roman" w:hAnsi="Times New Roman"/>
          <w:sz w:val="24"/>
          <w:szCs w:val="24"/>
        </w:rPr>
        <w:tab/>
        <w:t>Future Educators Association</w:t>
      </w:r>
    </w:p>
    <w:p w:rsidR="00525904" w:rsidRPr="00C042D5" w:rsidRDefault="00DF0E12" w:rsidP="00C042D5">
      <w:pPr>
        <w:tabs>
          <w:tab w:val="left" w:pos="360"/>
          <w:tab w:val="left" w:pos="720"/>
          <w:tab w:val="left" w:pos="1080"/>
          <w:tab w:val="left" w:pos="1650"/>
        </w:tabs>
        <w:spacing w:after="0" w:line="240" w:lineRule="auto"/>
        <w:ind w:left="360"/>
        <w:rPr>
          <w:rFonts w:ascii="Times New Roman" w:hAnsi="Times New Roman"/>
          <w:sz w:val="24"/>
          <w:szCs w:val="24"/>
        </w:rPr>
      </w:pPr>
      <w:r w:rsidRPr="00C042D5">
        <w:rPr>
          <w:rFonts w:ascii="Times New Roman" w:hAnsi="Times New Roman"/>
          <w:sz w:val="24"/>
          <w:szCs w:val="24"/>
        </w:rPr>
        <w:t>FFA</w:t>
      </w:r>
      <w:r w:rsidRPr="00C042D5">
        <w:rPr>
          <w:rFonts w:ascii="Times New Roman" w:hAnsi="Times New Roman"/>
          <w:sz w:val="24"/>
          <w:szCs w:val="24"/>
        </w:rPr>
        <w:tab/>
      </w:r>
      <w:r w:rsidRPr="00C042D5">
        <w:rPr>
          <w:rFonts w:ascii="Times New Roman" w:hAnsi="Times New Roman"/>
          <w:sz w:val="24"/>
          <w:szCs w:val="24"/>
        </w:rPr>
        <w:tab/>
      </w:r>
      <w:r w:rsidR="00525904" w:rsidRPr="00C042D5">
        <w:rPr>
          <w:rFonts w:ascii="Times New Roman" w:hAnsi="Times New Roman"/>
          <w:sz w:val="24"/>
          <w:szCs w:val="24"/>
        </w:rPr>
        <w:t>Future Farmers of America</w:t>
      </w:r>
    </w:p>
    <w:p w:rsidR="00525904" w:rsidRPr="00C042D5" w:rsidRDefault="00525904" w:rsidP="00C042D5">
      <w:pPr>
        <w:tabs>
          <w:tab w:val="left" w:pos="360"/>
          <w:tab w:val="left" w:pos="720"/>
          <w:tab w:val="left" w:pos="1080"/>
          <w:tab w:val="left" w:pos="1650"/>
        </w:tabs>
        <w:spacing w:after="0" w:line="240" w:lineRule="auto"/>
        <w:ind w:left="360"/>
        <w:rPr>
          <w:rFonts w:ascii="Times New Roman" w:hAnsi="Times New Roman"/>
          <w:sz w:val="24"/>
          <w:szCs w:val="24"/>
        </w:rPr>
      </w:pPr>
      <w:r w:rsidRPr="00C042D5">
        <w:rPr>
          <w:rFonts w:ascii="Times New Roman" w:hAnsi="Times New Roman"/>
          <w:sz w:val="24"/>
          <w:szCs w:val="24"/>
        </w:rPr>
        <w:t>FCCLA</w:t>
      </w:r>
      <w:r w:rsidRPr="00C042D5">
        <w:rPr>
          <w:rFonts w:ascii="Times New Roman" w:hAnsi="Times New Roman"/>
          <w:sz w:val="24"/>
          <w:szCs w:val="24"/>
        </w:rPr>
        <w:tab/>
        <w:t>Family, Career, and Community Leaders of America</w:t>
      </w:r>
    </w:p>
    <w:p w:rsidR="00525904" w:rsidRPr="00C042D5" w:rsidRDefault="00525904" w:rsidP="00C042D5">
      <w:pPr>
        <w:tabs>
          <w:tab w:val="left" w:pos="360"/>
          <w:tab w:val="left" w:pos="720"/>
          <w:tab w:val="left" w:pos="1080"/>
          <w:tab w:val="left" w:pos="1650"/>
        </w:tabs>
        <w:spacing w:after="0" w:line="240" w:lineRule="auto"/>
        <w:ind w:left="360"/>
        <w:rPr>
          <w:rFonts w:ascii="Times New Roman" w:hAnsi="Times New Roman"/>
          <w:sz w:val="24"/>
          <w:szCs w:val="24"/>
        </w:rPr>
      </w:pPr>
      <w:r w:rsidRPr="00C042D5">
        <w:rPr>
          <w:rFonts w:ascii="Times New Roman" w:hAnsi="Times New Roman"/>
          <w:sz w:val="24"/>
          <w:szCs w:val="24"/>
        </w:rPr>
        <w:t>DECA</w:t>
      </w:r>
      <w:r w:rsidRPr="00C042D5">
        <w:rPr>
          <w:rFonts w:ascii="Times New Roman" w:hAnsi="Times New Roman"/>
          <w:sz w:val="24"/>
          <w:szCs w:val="24"/>
        </w:rPr>
        <w:tab/>
      </w:r>
      <w:r w:rsidRPr="00C042D5">
        <w:rPr>
          <w:rFonts w:ascii="Times New Roman" w:hAnsi="Times New Roman"/>
          <w:sz w:val="24"/>
          <w:szCs w:val="24"/>
        </w:rPr>
        <w:tab/>
        <w:t>Distributive Education Clubs of America</w:t>
      </w:r>
    </w:p>
    <w:p w:rsidR="00525904" w:rsidRPr="00C042D5" w:rsidRDefault="00525904" w:rsidP="00C042D5">
      <w:pPr>
        <w:tabs>
          <w:tab w:val="left" w:pos="360"/>
          <w:tab w:val="left" w:pos="720"/>
          <w:tab w:val="left" w:pos="1080"/>
          <w:tab w:val="left" w:pos="1650"/>
        </w:tabs>
        <w:spacing w:after="0" w:line="240" w:lineRule="auto"/>
        <w:ind w:left="360"/>
        <w:rPr>
          <w:rFonts w:ascii="Times New Roman" w:hAnsi="Times New Roman"/>
          <w:sz w:val="24"/>
          <w:szCs w:val="24"/>
        </w:rPr>
      </w:pPr>
      <w:r w:rsidRPr="00C042D5">
        <w:rPr>
          <w:rFonts w:ascii="Times New Roman" w:hAnsi="Times New Roman"/>
          <w:sz w:val="24"/>
          <w:szCs w:val="24"/>
        </w:rPr>
        <w:t>HOSA</w:t>
      </w:r>
      <w:r w:rsidRPr="00C042D5">
        <w:rPr>
          <w:rFonts w:ascii="Times New Roman" w:hAnsi="Times New Roman"/>
          <w:sz w:val="24"/>
          <w:szCs w:val="24"/>
        </w:rPr>
        <w:tab/>
      </w:r>
      <w:r w:rsidRPr="00C042D5">
        <w:rPr>
          <w:rFonts w:ascii="Times New Roman" w:hAnsi="Times New Roman"/>
          <w:sz w:val="24"/>
          <w:szCs w:val="24"/>
        </w:rPr>
        <w:tab/>
        <w:t>Health Occupations Students of America – Future Health Professionals</w:t>
      </w:r>
    </w:p>
    <w:p w:rsidR="00525904" w:rsidRPr="00C042D5" w:rsidRDefault="00525904" w:rsidP="00C042D5">
      <w:pPr>
        <w:tabs>
          <w:tab w:val="left" w:pos="360"/>
          <w:tab w:val="left" w:pos="720"/>
          <w:tab w:val="left" w:pos="1080"/>
          <w:tab w:val="left" w:pos="1650"/>
        </w:tabs>
        <w:spacing w:after="0" w:line="240" w:lineRule="auto"/>
        <w:ind w:left="360"/>
        <w:rPr>
          <w:rFonts w:ascii="Times New Roman" w:hAnsi="Times New Roman"/>
          <w:sz w:val="24"/>
          <w:szCs w:val="24"/>
        </w:rPr>
      </w:pPr>
      <w:r w:rsidRPr="00C042D5">
        <w:rPr>
          <w:rFonts w:ascii="Times New Roman" w:hAnsi="Times New Roman"/>
          <w:sz w:val="24"/>
          <w:szCs w:val="24"/>
        </w:rPr>
        <w:t>SkillsUSA</w:t>
      </w:r>
      <w:r w:rsidRPr="00C042D5">
        <w:rPr>
          <w:rFonts w:ascii="Times New Roman" w:hAnsi="Times New Roman"/>
          <w:sz w:val="24"/>
          <w:szCs w:val="24"/>
        </w:rPr>
        <w:tab/>
        <w:t>Skills United States of America</w:t>
      </w:r>
    </w:p>
    <w:p w:rsidR="00525904" w:rsidRPr="00C042D5" w:rsidRDefault="00525904" w:rsidP="00C042D5">
      <w:pPr>
        <w:tabs>
          <w:tab w:val="left" w:pos="360"/>
          <w:tab w:val="left" w:pos="720"/>
          <w:tab w:val="left" w:pos="1080"/>
          <w:tab w:val="left" w:pos="1650"/>
        </w:tabs>
        <w:spacing w:after="0" w:line="240" w:lineRule="auto"/>
        <w:ind w:left="360"/>
        <w:rPr>
          <w:rFonts w:ascii="Times New Roman" w:hAnsi="Times New Roman"/>
          <w:sz w:val="24"/>
          <w:szCs w:val="24"/>
        </w:rPr>
      </w:pPr>
      <w:r w:rsidRPr="00C042D5">
        <w:rPr>
          <w:rFonts w:ascii="Times New Roman" w:hAnsi="Times New Roman"/>
          <w:sz w:val="24"/>
          <w:szCs w:val="24"/>
        </w:rPr>
        <w:t>TSA</w:t>
      </w:r>
      <w:r w:rsidRPr="00C042D5">
        <w:rPr>
          <w:rFonts w:ascii="Times New Roman" w:hAnsi="Times New Roman"/>
          <w:sz w:val="24"/>
          <w:szCs w:val="24"/>
        </w:rPr>
        <w:tab/>
      </w:r>
      <w:r w:rsidRPr="00C042D5">
        <w:rPr>
          <w:rFonts w:ascii="Times New Roman" w:hAnsi="Times New Roman"/>
          <w:sz w:val="24"/>
          <w:szCs w:val="24"/>
        </w:rPr>
        <w:tab/>
        <w:t>Technology Student Association</w:t>
      </w:r>
    </w:p>
    <w:p w:rsidR="000B034A" w:rsidRPr="00C042D5" w:rsidRDefault="000B034A" w:rsidP="00C042D5">
      <w:pPr>
        <w:tabs>
          <w:tab w:val="left" w:pos="360"/>
          <w:tab w:val="left" w:pos="720"/>
          <w:tab w:val="left" w:pos="1080"/>
        </w:tabs>
        <w:spacing w:after="0" w:line="240" w:lineRule="auto"/>
        <w:rPr>
          <w:rFonts w:ascii="Times New Roman" w:hAnsi="Times New Roman"/>
          <w:sz w:val="24"/>
          <w:szCs w:val="24"/>
        </w:rPr>
      </w:pPr>
    </w:p>
    <w:p w:rsidR="00525904" w:rsidRPr="00C042D5" w:rsidRDefault="00525904" w:rsidP="00C042D5">
      <w:pPr>
        <w:spacing w:after="0" w:line="240" w:lineRule="auto"/>
        <w:rPr>
          <w:rFonts w:ascii="Times New Roman" w:hAnsi="Times New Roman"/>
          <w:sz w:val="24"/>
          <w:szCs w:val="24"/>
        </w:rPr>
      </w:pPr>
      <w:r w:rsidRPr="00C042D5">
        <w:rPr>
          <w:rFonts w:ascii="Times New Roman" w:hAnsi="Times New Roman"/>
          <w:sz w:val="24"/>
          <w:szCs w:val="24"/>
        </w:rPr>
        <w:t>The Perkins definition of the term ‘special populations’ means:</w:t>
      </w:r>
    </w:p>
    <w:p w:rsidR="00525904" w:rsidRPr="00C042D5" w:rsidRDefault="00525904" w:rsidP="00C042D5">
      <w:pPr>
        <w:pStyle w:val="ListParagraph"/>
        <w:numPr>
          <w:ilvl w:val="0"/>
          <w:numId w:val="1"/>
        </w:numPr>
        <w:spacing w:after="0" w:line="240" w:lineRule="auto"/>
        <w:rPr>
          <w:rFonts w:ascii="Times New Roman" w:hAnsi="Times New Roman"/>
          <w:sz w:val="24"/>
          <w:szCs w:val="24"/>
        </w:rPr>
      </w:pPr>
      <w:r w:rsidRPr="00C042D5">
        <w:rPr>
          <w:rFonts w:ascii="Times New Roman" w:hAnsi="Times New Roman"/>
          <w:sz w:val="24"/>
          <w:szCs w:val="24"/>
        </w:rPr>
        <w:t>Individuals with disabilities;</w:t>
      </w:r>
    </w:p>
    <w:p w:rsidR="00525904" w:rsidRPr="00C042D5" w:rsidRDefault="00525904" w:rsidP="00C042D5">
      <w:pPr>
        <w:pStyle w:val="ListParagraph"/>
        <w:numPr>
          <w:ilvl w:val="0"/>
          <w:numId w:val="1"/>
        </w:numPr>
        <w:spacing w:after="0" w:line="240" w:lineRule="auto"/>
        <w:rPr>
          <w:rFonts w:ascii="Times New Roman" w:hAnsi="Times New Roman"/>
          <w:sz w:val="24"/>
          <w:szCs w:val="24"/>
        </w:rPr>
      </w:pPr>
      <w:r w:rsidRPr="00C042D5">
        <w:rPr>
          <w:rFonts w:ascii="Times New Roman" w:hAnsi="Times New Roman"/>
          <w:sz w:val="24"/>
          <w:szCs w:val="24"/>
        </w:rPr>
        <w:t>Individuals from economically disadvantaged families, including foster children;</w:t>
      </w:r>
    </w:p>
    <w:p w:rsidR="00525904" w:rsidRPr="00C042D5" w:rsidRDefault="00525904" w:rsidP="00C042D5">
      <w:pPr>
        <w:pStyle w:val="ListParagraph"/>
        <w:numPr>
          <w:ilvl w:val="0"/>
          <w:numId w:val="1"/>
        </w:numPr>
        <w:spacing w:after="0" w:line="240" w:lineRule="auto"/>
        <w:rPr>
          <w:rFonts w:ascii="Times New Roman" w:hAnsi="Times New Roman"/>
          <w:sz w:val="24"/>
          <w:szCs w:val="24"/>
        </w:rPr>
      </w:pPr>
      <w:r w:rsidRPr="00C042D5">
        <w:rPr>
          <w:rFonts w:ascii="Times New Roman" w:hAnsi="Times New Roman"/>
          <w:sz w:val="24"/>
          <w:szCs w:val="24"/>
        </w:rPr>
        <w:t>Individuals preparing for non-traditional fields;</w:t>
      </w:r>
    </w:p>
    <w:p w:rsidR="00525904" w:rsidRPr="00C042D5" w:rsidRDefault="00525904" w:rsidP="00C042D5">
      <w:pPr>
        <w:pStyle w:val="ListParagraph"/>
        <w:numPr>
          <w:ilvl w:val="0"/>
          <w:numId w:val="1"/>
        </w:numPr>
        <w:spacing w:after="0" w:line="240" w:lineRule="auto"/>
        <w:rPr>
          <w:rFonts w:ascii="Times New Roman" w:hAnsi="Times New Roman"/>
          <w:sz w:val="24"/>
          <w:szCs w:val="24"/>
        </w:rPr>
      </w:pPr>
      <w:r w:rsidRPr="00C042D5">
        <w:rPr>
          <w:rFonts w:ascii="Times New Roman" w:hAnsi="Times New Roman"/>
          <w:sz w:val="24"/>
          <w:szCs w:val="24"/>
        </w:rPr>
        <w:t>Single parents, including single pregnant women;</w:t>
      </w:r>
    </w:p>
    <w:p w:rsidR="00525904" w:rsidRPr="00C042D5" w:rsidRDefault="00525904" w:rsidP="00C042D5">
      <w:pPr>
        <w:pStyle w:val="ListParagraph"/>
        <w:numPr>
          <w:ilvl w:val="0"/>
          <w:numId w:val="1"/>
        </w:numPr>
        <w:spacing w:after="0" w:line="240" w:lineRule="auto"/>
        <w:rPr>
          <w:rFonts w:ascii="Times New Roman" w:hAnsi="Times New Roman"/>
          <w:sz w:val="24"/>
          <w:szCs w:val="24"/>
        </w:rPr>
      </w:pPr>
      <w:r w:rsidRPr="00C042D5">
        <w:rPr>
          <w:rFonts w:ascii="Times New Roman" w:hAnsi="Times New Roman"/>
          <w:sz w:val="24"/>
          <w:szCs w:val="24"/>
        </w:rPr>
        <w:t>Displaced homemakers; and</w:t>
      </w:r>
    </w:p>
    <w:p w:rsidR="00525904" w:rsidRPr="00C042D5" w:rsidRDefault="00525904" w:rsidP="00C042D5">
      <w:pPr>
        <w:pStyle w:val="ListParagraph"/>
        <w:numPr>
          <w:ilvl w:val="0"/>
          <w:numId w:val="1"/>
        </w:numPr>
        <w:spacing w:after="0" w:line="240" w:lineRule="auto"/>
        <w:rPr>
          <w:rFonts w:ascii="Times New Roman" w:hAnsi="Times New Roman"/>
          <w:sz w:val="24"/>
          <w:szCs w:val="24"/>
        </w:rPr>
      </w:pPr>
      <w:r w:rsidRPr="00C042D5">
        <w:rPr>
          <w:rFonts w:ascii="Times New Roman" w:hAnsi="Times New Roman"/>
          <w:sz w:val="24"/>
          <w:szCs w:val="24"/>
        </w:rPr>
        <w:t>Individuals with limited English proficiency.</w:t>
      </w:r>
    </w:p>
    <w:p w:rsidR="00C042D5" w:rsidRDefault="00C042D5" w:rsidP="00C042D5">
      <w:pPr>
        <w:spacing w:after="0" w:line="240" w:lineRule="auto"/>
        <w:rPr>
          <w:rFonts w:ascii="Times New Roman" w:hAnsi="Times New Roman"/>
          <w:sz w:val="24"/>
          <w:szCs w:val="24"/>
        </w:rPr>
      </w:pPr>
    </w:p>
    <w:p w:rsidR="00525904" w:rsidRPr="00C042D5" w:rsidRDefault="00525904" w:rsidP="00C042D5">
      <w:pPr>
        <w:spacing w:after="0" w:line="240" w:lineRule="auto"/>
        <w:rPr>
          <w:rFonts w:ascii="Times New Roman" w:hAnsi="Times New Roman"/>
          <w:sz w:val="24"/>
          <w:szCs w:val="24"/>
        </w:rPr>
      </w:pPr>
      <w:r w:rsidRPr="00C042D5">
        <w:rPr>
          <w:rFonts w:ascii="Times New Roman" w:hAnsi="Times New Roman"/>
          <w:sz w:val="24"/>
          <w:szCs w:val="24"/>
        </w:rPr>
        <w:t>The Perkins definition of the term ‘non-traditional fields’ means:</w:t>
      </w:r>
    </w:p>
    <w:p w:rsidR="00525904" w:rsidRPr="00C042D5" w:rsidRDefault="00F01D3B" w:rsidP="00C042D5">
      <w:pPr>
        <w:spacing w:after="0" w:line="240" w:lineRule="auto"/>
        <w:ind w:left="360"/>
        <w:rPr>
          <w:rFonts w:ascii="Times New Roman" w:hAnsi="Times New Roman"/>
          <w:i/>
          <w:sz w:val="24"/>
          <w:szCs w:val="24"/>
        </w:rPr>
      </w:pPr>
      <w:r>
        <w:rPr>
          <w:rFonts w:ascii="Times New Roman" w:hAnsi="Times New Roman"/>
          <w:i/>
          <w:sz w:val="24"/>
          <w:szCs w:val="24"/>
        </w:rPr>
        <w:t>“O</w:t>
      </w:r>
      <w:r w:rsidR="00525904" w:rsidRPr="00C042D5">
        <w:rPr>
          <w:rFonts w:ascii="Times New Roman" w:hAnsi="Times New Roman"/>
          <w:i/>
          <w:sz w:val="24"/>
          <w:szCs w:val="24"/>
        </w:rPr>
        <w:t>ccupations or fields of work, including careers in computer science, technology, and other current and emerging high skill occupations, for which individuals from one gender comprise less than 25 percent of the individuals employed in each such occupation or field of work.</w:t>
      </w:r>
      <w:r>
        <w:rPr>
          <w:rFonts w:ascii="Times New Roman" w:hAnsi="Times New Roman"/>
          <w:i/>
          <w:sz w:val="24"/>
          <w:szCs w:val="24"/>
        </w:rPr>
        <w:t>”</w:t>
      </w:r>
    </w:p>
    <w:p w:rsidR="00C042D5" w:rsidRDefault="00C042D5" w:rsidP="00C042D5">
      <w:pPr>
        <w:spacing w:after="0" w:line="240" w:lineRule="auto"/>
        <w:rPr>
          <w:rFonts w:ascii="Times New Roman" w:hAnsi="Times New Roman"/>
          <w:sz w:val="24"/>
          <w:szCs w:val="24"/>
        </w:rPr>
      </w:pPr>
    </w:p>
    <w:p w:rsidR="00525904" w:rsidRPr="00C042D5" w:rsidRDefault="00525904" w:rsidP="00C042D5">
      <w:pPr>
        <w:spacing w:after="0" w:line="240" w:lineRule="auto"/>
        <w:rPr>
          <w:rFonts w:ascii="Times New Roman" w:hAnsi="Times New Roman"/>
          <w:sz w:val="24"/>
          <w:szCs w:val="24"/>
        </w:rPr>
      </w:pPr>
      <w:r w:rsidRPr="00C042D5">
        <w:rPr>
          <w:rFonts w:ascii="Times New Roman" w:hAnsi="Times New Roman"/>
          <w:sz w:val="24"/>
          <w:szCs w:val="24"/>
        </w:rPr>
        <w:t xml:space="preserve">Details pertaining to the CTE courses that comply with the definition of non-traditional fields </w:t>
      </w:r>
      <w:proofErr w:type="gramStart"/>
      <w:r w:rsidRPr="00C042D5">
        <w:rPr>
          <w:rFonts w:ascii="Times New Roman" w:hAnsi="Times New Roman"/>
          <w:sz w:val="24"/>
          <w:szCs w:val="24"/>
        </w:rPr>
        <w:t>can be found</w:t>
      </w:r>
      <w:proofErr w:type="gramEnd"/>
      <w:r w:rsidRPr="00C042D5">
        <w:rPr>
          <w:rFonts w:ascii="Times New Roman" w:hAnsi="Times New Roman"/>
          <w:sz w:val="24"/>
          <w:szCs w:val="24"/>
        </w:rPr>
        <w:t xml:space="preserve"> in the </w:t>
      </w:r>
      <w:hyperlink r:id="rId9" w:history="1">
        <w:r w:rsidRPr="00586E79">
          <w:rPr>
            <w:rStyle w:val="Hyperlink"/>
            <w:rFonts w:ascii="Times New Roman" w:hAnsi="Times New Roman"/>
            <w:sz w:val="24"/>
            <w:szCs w:val="24"/>
          </w:rPr>
          <w:t>CTERS User’s Manual</w:t>
        </w:r>
      </w:hyperlink>
      <w:r w:rsidRPr="00C042D5">
        <w:rPr>
          <w:rFonts w:ascii="Times New Roman" w:hAnsi="Times New Roman"/>
          <w:sz w:val="24"/>
          <w:szCs w:val="24"/>
        </w:rPr>
        <w:t xml:space="preserve">. The </w:t>
      </w:r>
      <w:r w:rsidR="004230A8" w:rsidRPr="00C042D5">
        <w:rPr>
          <w:rFonts w:ascii="Times New Roman" w:hAnsi="Times New Roman"/>
          <w:sz w:val="24"/>
          <w:szCs w:val="24"/>
        </w:rPr>
        <w:t xml:space="preserve">CTE </w:t>
      </w:r>
      <w:r w:rsidRPr="00C042D5">
        <w:rPr>
          <w:rFonts w:ascii="Times New Roman" w:hAnsi="Times New Roman"/>
          <w:sz w:val="24"/>
          <w:szCs w:val="24"/>
        </w:rPr>
        <w:t>course</w:t>
      </w:r>
      <w:r w:rsidR="004230A8" w:rsidRPr="00C042D5">
        <w:rPr>
          <w:rFonts w:ascii="Times New Roman" w:hAnsi="Times New Roman"/>
          <w:sz w:val="24"/>
          <w:szCs w:val="24"/>
        </w:rPr>
        <w:t xml:space="preserve"> list</w:t>
      </w:r>
      <w:r w:rsidRPr="00C042D5">
        <w:rPr>
          <w:rFonts w:ascii="Times New Roman" w:hAnsi="Times New Roman"/>
          <w:sz w:val="24"/>
          <w:szCs w:val="24"/>
        </w:rPr>
        <w:t xml:space="preserve"> is update</w:t>
      </w:r>
      <w:r w:rsidR="00DA02AC" w:rsidRPr="00C042D5">
        <w:rPr>
          <w:rFonts w:ascii="Times New Roman" w:hAnsi="Times New Roman"/>
          <w:sz w:val="24"/>
          <w:szCs w:val="24"/>
        </w:rPr>
        <w:t>d</w:t>
      </w:r>
      <w:r w:rsidRPr="00C042D5">
        <w:rPr>
          <w:rFonts w:ascii="Times New Roman" w:hAnsi="Times New Roman"/>
          <w:sz w:val="24"/>
          <w:szCs w:val="24"/>
        </w:rPr>
        <w:t xml:space="preserve"> annually.</w:t>
      </w:r>
    </w:p>
    <w:p w:rsidR="00C042D5" w:rsidRDefault="00C042D5" w:rsidP="00C042D5">
      <w:pPr>
        <w:spacing w:after="0" w:line="240" w:lineRule="auto"/>
        <w:rPr>
          <w:rFonts w:ascii="Times New Roman" w:hAnsi="Times New Roman"/>
          <w:sz w:val="24"/>
          <w:szCs w:val="24"/>
        </w:rPr>
      </w:pPr>
    </w:p>
    <w:p w:rsidR="001271F7" w:rsidRPr="00C042D5" w:rsidRDefault="00340CDF" w:rsidP="00C042D5">
      <w:pPr>
        <w:spacing w:after="0" w:line="240" w:lineRule="auto"/>
        <w:rPr>
          <w:rFonts w:ascii="Times New Roman" w:hAnsi="Times New Roman"/>
          <w:sz w:val="24"/>
          <w:szCs w:val="24"/>
        </w:rPr>
      </w:pPr>
      <w:r w:rsidRPr="00C042D5">
        <w:rPr>
          <w:rFonts w:ascii="Times New Roman" w:hAnsi="Times New Roman"/>
          <w:sz w:val="24"/>
          <w:szCs w:val="24"/>
        </w:rPr>
        <w:t>This guidance directs futur</w:t>
      </w:r>
      <w:r w:rsidR="00525904" w:rsidRPr="00C042D5">
        <w:rPr>
          <w:rFonts w:ascii="Times New Roman" w:hAnsi="Times New Roman"/>
          <w:sz w:val="24"/>
          <w:szCs w:val="24"/>
        </w:rPr>
        <w:t>e use of Perkins funds for CTSO</w:t>
      </w:r>
      <w:r w:rsidRPr="00C042D5">
        <w:rPr>
          <w:rFonts w:ascii="Times New Roman" w:hAnsi="Times New Roman"/>
          <w:sz w:val="24"/>
          <w:szCs w:val="24"/>
        </w:rPr>
        <w:t xml:space="preserve"> </w:t>
      </w:r>
      <w:proofErr w:type="gramStart"/>
      <w:r w:rsidRPr="00C042D5">
        <w:rPr>
          <w:rFonts w:ascii="Times New Roman" w:hAnsi="Times New Roman"/>
          <w:sz w:val="24"/>
          <w:szCs w:val="24"/>
        </w:rPr>
        <w:t>to strictly suppor</w:t>
      </w:r>
      <w:r w:rsidR="00525904" w:rsidRPr="00C042D5">
        <w:rPr>
          <w:rFonts w:ascii="Times New Roman" w:hAnsi="Times New Roman"/>
          <w:sz w:val="24"/>
          <w:szCs w:val="24"/>
        </w:rPr>
        <w:t>t</w:t>
      </w:r>
      <w:proofErr w:type="gramEnd"/>
      <w:r w:rsidR="00525904" w:rsidRPr="00C042D5">
        <w:rPr>
          <w:rFonts w:ascii="Times New Roman" w:hAnsi="Times New Roman"/>
          <w:sz w:val="24"/>
          <w:szCs w:val="24"/>
        </w:rPr>
        <w:t xml:space="preserve"> participation of students who</w:t>
      </w:r>
      <w:r w:rsidRPr="00C042D5">
        <w:rPr>
          <w:rFonts w:ascii="Times New Roman" w:hAnsi="Times New Roman"/>
          <w:sz w:val="24"/>
          <w:szCs w:val="24"/>
        </w:rPr>
        <w:t xml:space="preserve"> are </w:t>
      </w:r>
      <w:r w:rsidR="00525904" w:rsidRPr="00C042D5">
        <w:rPr>
          <w:rFonts w:ascii="Times New Roman" w:hAnsi="Times New Roman"/>
          <w:sz w:val="24"/>
          <w:szCs w:val="24"/>
        </w:rPr>
        <w:t>determine</w:t>
      </w:r>
      <w:r w:rsidR="00683849" w:rsidRPr="00C042D5">
        <w:rPr>
          <w:rFonts w:ascii="Times New Roman" w:hAnsi="Times New Roman"/>
          <w:sz w:val="24"/>
          <w:szCs w:val="24"/>
        </w:rPr>
        <w:t>d</w:t>
      </w:r>
      <w:r w:rsidR="00525904" w:rsidRPr="00C042D5">
        <w:rPr>
          <w:rFonts w:ascii="Times New Roman" w:hAnsi="Times New Roman"/>
          <w:sz w:val="24"/>
          <w:szCs w:val="24"/>
        </w:rPr>
        <w:t xml:space="preserve"> to be eligible member</w:t>
      </w:r>
      <w:r w:rsidR="00683849" w:rsidRPr="00C042D5">
        <w:rPr>
          <w:rFonts w:ascii="Times New Roman" w:hAnsi="Times New Roman"/>
          <w:sz w:val="24"/>
          <w:szCs w:val="24"/>
        </w:rPr>
        <w:t>s</w:t>
      </w:r>
      <w:r w:rsidR="00525904" w:rsidRPr="00C042D5">
        <w:rPr>
          <w:rFonts w:ascii="Times New Roman" w:hAnsi="Times New Roman"/>
          <w:sz w:val="24"/>
          <w:szCs w:val="24"/>
        </w:rPr>
        <w:t xml:space="preserve"> </w:t>
      </w:r>
      <w:r w:rsidRPr="00C042D5">
        <w:rPr>
          <w:rFonts w:ascii="Times New Roman" w:hAnsi="Times New Roman"/>
          <w:sz w:val="24"/>
          <w:szCs w:val="24"/>
        </w:rPr>
        <w:t xml:space="preserve">of </w:t>
      </w:r>
      <w:hyperlink r:id="rId10" w:history="1">
        <w:r w:rsidRPr="00586E79">
          <w:rPr>
            <w:rStyle w:val="Hyperlink"/>
            <w:rFonts w:ascii="Times New Roman" w:hAnsi="Times New Roman"/>
            <w:sz w:val="24"/>
            <w:szCs w:val="24"/>
          </w:rPr>
          <w:t>special populations</w:t>
        </w:r>
      </w:hyperlink>
      <w:r w:rsidRPr="00C042D5">
        <w:rPr>
          <w:rFonts w:ascii="Times New Roman" w:hAnsi="Times New Roman"/>
          <w:sz w:val="24"/>
          <w:szCs w:val="24"/>
        </w:rPr>
        <w:t xml:space="preserve"> and </w:t>
      </w:r>
      <w:r w:rsidR="00525904" w:rsidRPr="00C042D5">
        <w:rPr>
          <w:rFonts w:ascii="Times New Roman" w:hAnsi="Times New Roman"/>
          <w:sz w:val="24"/>
          <w:szCs w:val="24"/>
        </w:rPr>
        <w:t>participa</w:t>
      </w:r>
      <w:r w:rsidR="00BA1A9D" w:rsidRPr="00C042D5">
        <w:rPr>
          <w:rFonts w:ascii="Times New Roman" w:hAnsi="Times New Roman"/>
          <w:sz w:val="24"/>
          <w:szCs w:val="24"/>
        </w:rPr>
        <w:t>n</w:t>
      </w:r>
      <w:r w:rsidR="00525904" w:rsidRPr="00C042D5">
        <w:rPr>
          <w:rFonts w:ascii="Times New Roman" w:hAnsi="Times New Roman"/>
          <w:sz w:val="24"/>
          <w:szCs w:val="24"/>
        </w:rPr>
        <w:t>t</w:t>
      </w:r>
      <w:r w:rsidR="00BA1A9D" w:rsidRPr="00C042D5">
        <w:rPr>
          <w:rFonts w:ascii="Times New Roman" w:hAnsi="Times New Roman"/>
          <w:sz w:val="24"/>
          <w:szCs w:val="24"/>
        </w:rPr>
        <w:t>s</w:t>
      </w:r>
      <w:r w:rsidR="00525904" w:rsidRPr="00C042D5">
        <w:rPr>
          <w:rFonts w:ascii="Times New Roman" w:hAnsi="Times New Roman"/>
          <w:sz w:val="24"/>
          <w:szCs w:val="24"/>
        </w:rPr>
        <w:t xml:space="preserve"> of </w:t>
      </w:r>
      <w:r w:rsidRPr="00586E79">
        <w:rPr>
          <w:rFonts w:ascii="Times New Roman" w:hAnsi="Times New Roman"/>
          <w:sz w:val="24"/>
          <w:szCs w:val="24"/>
        </w:rPr>
        <w:t>non-traditional fields</w:t>
      </w:r>
      <w:r w:rsidRPr="00C042D5">
        <w:rPr>
          <w:rFonts w:ascii="Times New Roman" w:hAnsi="Times New Roman"/>
          <w:sz w:val="24"/>
          <w:szCs w:val="24"/>
        </w:rPr>
        <w:t xml:space="preserve">.  </w:t>
      </w:r>
      <w:r w:rsidR="00F879DE" w:rsidRPr="00C042D5">
        <w:rPr>
          <w:rFonts w:ascii="Times New Roman" w:hAnsi="Times New Roman"/>
          <w:sz w:val="24"/>
          <w:szCs w:val="24"/>
        </w:rPr>
        <w:t xml:space="preserve">It is </w:t>
      </w:r>
      <w:r w:rsidR="00525904" w:rsidRPr="00C042D5">
        <w:rPr>
          <w:rFonts w:ascii="Times New Roman" w:hAnsi="Times New Roman"/>
          <w:sz w:val="24"/>
          <w:szCs w:val="24"/>
        </w:rPr>
        <w:t>important to note that the</w:t>
      </w:r>
      <w:r w:rsidR="00F879DE" w:rsidRPr="00C042D5">
        <w:rPr>
          <w:rFonts w:ascii="Times New Roman" w:hAnsi="Times New Roman"/>
          <w:sz w:val="24"/>
          <w:szCs w:val="24"/>
        </w:rPr>
        <w:t xml:space="preserve"> guidance </w:t>
      </w:r>
      <w:r w:rsidR="00525904" w:rsidRPr="00C042D5">
        <w:rPr>
          <w:rFonts w:ascii="Times New Roman" w:hAnsi="Times New Roman"/>
          <w:sz w:val="24"/>
          <w:szCs w:val="24"/>
        </w:rPr>
        <w:t>issued on December 19, 2014</w:t>
      </w:r>
      <w:r w:rsidR="00683849" w:rsidRPr="00C042D5">
        <w:rPr>
          <w:rFonts w:ascii="Times New Roman" w:hAnsi="Times New Roman"/>
          <w:sz w:val="24"/>
          <w:szCs w:val="24"/>
        </w:rPr>
        <w:t>,</w:t>
      </w:r>
      <w:r w:rsidR="00525904" w:rsidRPr="00C042D5">
        <w:rPr>
          <w:rFonts w:ascii="Times New Roman" w:hAnsi="Times New Roman"/>
          <w:sz w:val="24"/>
          <w:szCs w:val="24"/>
        </w:rPr>
        <w:t xml:space="preserve"> via Sup</w:t>
      </w:r>
      <w:r w:rsidR="00BA1A9D" w:rsidRPr="00C042D5">
        <w:rPr>
          <w:rFonts w:ascii="Times New Roman" w:hAnsi="Times New Roman"/>
          <w:sz w:val="24"/>
          <w:szCs w:val="24"/>
        </w:rPr>
        <w:t>er</w:t>
      </w:r>
      <w:r w:rsidR="00525904" w:rsidRPr="00C042D5">
        <w:rPr>
          <w:rFonts w:ascii="Times New Roman" w:hAnsi="Times New Roman"/>
          <w:sz w:val="24"/>
          <w:szCs w:val="24"/>
        </w:rPr>
        <w:t>in</w:t>
      </w:r>
      <w:r w:rsidR="00BA1A9D" w:rsidRPr="00C042D5">
        <w:rPr>
          <w:rFonts w:ascii="Times New Roman" w:hAnsi="Times New Roman"/>
          <w:sz w:val="24"/>
          <w:szCs w:val="24"/>
        </w:rPr>
        <w:t>ten</w:t>
      </w:r>
      <w:r w:rsidR="00525904" w:rsidRPr="00C042D5">
        <w:rPr>
          <w:rFonts w:ascii="Times New Roman" w:hAnsi="Times New Roman"/>
          <w:sz w:val="24"/>
          <w:szCs w:val="24"/>
        </w:rPr>
        <w:t>dent’s</w:t>
      </w:r>
      <w:r w:rsidR="00683849" w:rsidRPr="00C042D5">
        <w:rPr>
          <w:rFonts w:ascii="Times New Roman" w:hAnsi="Times New Roman"/>
          <w:sz w:val="24"/>
          <w:szCs w:val="24"/>
        </w:rPr>
        <w:t xml:space="preserve"> E</w:t>
      </w:r>
      <w:r w:rsidR="00525904" w:rsidRPr="00C042D5">
        <w:rPr>
          <w:rFonts w:ascii="Times New Roman" w:hAnsi="Times New Roman"/>
          <w:sz w:val="24"/>
          <w:szCs w:val="24"/>
        </w:rPr>
        <w:t xml:space="preserve">-mail, </w:t>
      </w:r>
      <w:r w:rsidR="00F879DE" w:rsidRPr="00C042D5">
        <w:rPr>
          <w:rFonts w:ascii="Times New Roman" w:hAnsi="Times New Roman"/>
          <w:sz w:val="24"/>
          <w:szCs w:val="24"/>
        </w:rPr>
        <w:t>does not eliminate the ability to use Perkins fun</w:t>
      </w:r>
      <w:r w:rsidR="00E839AA" w:rsidRPr="00C042D5">
        <w:rPr>
          <w:rFonts w:ascii="Times New Roman" w:hAnsi="Times New Roman"/>
          <w:sz w:val="24"/>
          <w:szCs w:val="24"/>
        </w:rPr>
        <w:t>ds for CTSO registration, transportation, lodging, and meals to CTSO regional, state and national conferences.</w:t>
      </w:r>
      <w:r w:rsidR="006C1C65" w:rsidRPr="00C042D5">
        <w:rPr>
          <w:rFonts w:ascii="Times New Roman" w:hAnsi="Times New Roman"/>
          <w:sz w:val="24"/>
          <w:szCs w:val="24"/>
        </w:rPr>
        <w:t xml:space="preserve"> </w:t>
      </w:r>
    </w:p>
    <w:p w:rsidR="00C042D5" w:rsidRDefault="00C042D5" w:rsidP="00C042D5">
      <w:pPr>
        <w:spacing w:after="0" w:line="240" w:lineRule="auto"/>
        <w:rPr>
          <w:rFonts w:ascii="Times New Roman" w:hAnsi="Times New Roman"/>
          <w:sz w:val="24"/>
          <w:szCs w:val="24"/>
        </w:rPr>
      </w:pPr>
    </w:p>
    <w:p w:rsidR="00032333" w:rsidRPr="00C042D5" w:rsidRDefault="00525904" w:rsidP="00C042D5">
      <w:pPr>
        <w:spacing w:after="0" w:line="240" w:lineRule="auto"/>
        <w:rPr>
          <w:rFonts w:ascii="Times New Roman" w:hAnsi="Times New Roman"/>
          <w:sz w:val="24"/>
          <w:szCs w:val="24"/>
        </w:rPr>
      </w:pPr>
      <w:r w:rsidRPr="00C042D5">
        <w:rPr>
          <w:rFonts w:ascii="Times New Roman" w:hAnsi="Times New Roman"/>
          <w:sz w:val="24"/>
          <w:szCs w:val="24"/>
        </w:rPr>
        <w:t xml:space="preserve">It should be further noted, according to </w:t>
      </w:r>
      <w:r w:rsidR="006F4B95" w:rsidRPr="00C042D5">
        <w:rPr>
          <w:rFonts w:ascii="Times New Roman" w:hAnsi="Times New Roman"/>
          <w:sz w:val="24"/>
          <w:szCs w:val="24"/>
        </w:rPr>
        <w:t xml:space="preserve">the </w:t>
      </w:r>
      <w:r w:rsidR="00797FE4" w:rsidRPr="00C042D5">
        <w:rPr>
          <w:rFonts w:ascii="Times New Roman" w:hAnsi="Times New Roman"/>
          <w:sz w:val="24"/>
          <w:szCs w:val="24"/>
        </w:rPr>
        <w:t xml:space="preserve">statewide </w:t>
      </w:r>
      <w:r w:rsidR="006F4B95" w:rsidRPr="00C042D5">
        <w:rPr>
          <w:rFonts w:ascii="Times New Roman" w:hAnsi="Times New Roman"/>
          <w:sz w:val="24"/>
          <w:szCs w:val="24"/>
        </w:rPr>
        <w:t>2013-2014</w:t>
      </w:r>
      <w:r w:rsidR="00797FE4" w:rsidRPr="00C042D5">
        <w:rPr>
          <w:rFonts w:ascii="Times New Roman" w:hAnsi="Times New Roman"/>
          <w:sz w:val="24"/>
          <w:szCs w:val="24"/>
        </w:rPr>
        <w:t xml:space="preserve"> </w:t>
      </w:r>
      <w:r w:rsidR="00C851FC" w:rsidRPr="00C042D5">
        <w:rPr>
          <w:rFonts w:ascii="Times New Roman" w:hAnsi="Times New Roman"/>
          <w:sz w:val="24"/>
          <w:szCs w:val="24"/>
        </w:rPr>
        <w:t>CTE Secondary Student Career Cluster Enrollment Report (SSCCER)</w:t>
      </w:r>
      <w:r w:rsidR="006F4B95" w:rsidRPr="00C042D5">
        <w:rPr>
          <w:rFonts w:ascii="Times New Roman" w:hAnsi="Times New Roman"/>
          <w:sz w:val="24"/>
          <w:szCs w:val="24"/>
        </w:rPr>
        <w:t xml:space="preserve">, </w:t>
      </w:r>
      <w:r w:rsidR="00C851FC" w:rsidRPr="00C042D5">
        <w:rPr>
          <w:rFonts w:ascii="Times New Roman" w:hAnsi="Times New Roman"/>
          <w:sz w:val="24"/>
          <w:szCs w:val="24"/>
        </w:rPr>
        <w:t>52</w:t>
      </w:r>
      <w:r w:rsidR="006C6D92" w:rsidRPr="00C042D5">
        <w:rPr>
          <w:rFonts w:ascii="Times New Roman" w:hAnsi="Times New Roman"/>
          <w:sz w:val="24"/>
          <w:szCs w:val="24"/>
        </w:rPr>
        <w:t xml:space="preserve"> percent</w:t>
      </w:r>
      <w:r w:rsidR="006F4B95" w:rsidRPr="00C042D5">
        <w:rPr>
          <w:rFonts w:ascii="Times New Roman" w:hAnsi="Times New Roman"/>
          <w:sz w:val="24"/>
          <w:szCs w:val="24"/>
        </w:rPr>
        <w:t xml:space="preserve"> of the </w:t>
      </w:r>
      <w:r w:rsidR="00C851FC" w:rsidRPr="00C042D5">
        <w:rPr>
          <w:rFonts w:ascii="Times New Roman" w:hAnsi="Times New Roman"/>
          <w:sz w:val="24"/>
          <w:szCs w:val="24"/>
        </w:rPr>
        <w:t>284,977</w:t>
      </w:r>
      <w:r w:rsidR="00797FE4" w:rsidRPr="00C042D5">
        <w:rPr>
          <w:rFonts w:ascii="Times New Roman" w:hAnsi="Times New Roman"/>
          <w:sz w:val="24"/>
          <w:szCs w:val="24"/>
        </w:rPr>
        <w:t xml:space="preserve"> students </w:t>
      </w:r>
      <w:r w:rsidRPr="00C042D5">
        <w:rPr>
          <w:rFonts w:ascii="Times New Roman" w:hAnsi="Times New Roman"/>
          <w:sz w:val="24"/>
          <w:szCs w:val="24"/>
        </w:rPr>
        <w:t xml:space="preserve">who were </w:t>
      </w:r>
      <w:r w:rsidR="00797FE4" w:rsidRPr="00C042D5">
        <w:rPr>
          <w:rFonts w:ascii="Times New Roman" w:hAnsi="Times New Roman"/>
          <w:sz w:val="24"/>
          <w:szCs w:val="24"/>
        </w:rPr>
        <w:t xml:space="preserve">enrolled in CTE programs </w:t>
      </w:r>
      <w:r w:rsidRPr="00C042D5">
        <w:rPr>
          <w:rFonts w:ascii="Times New Roman" w:hAnsi="Times New Roman"/>
          <w:sz w:val="24"/>
          <w:szCs w:val="24"/>
        </w:rPr>
        <w:t>me</w:t>
      </w:r>
      <w:r w:rsidR="006F4B95" w:rsidRPr="00C042D5">
        <w:rPr>
          <w:rFonts w:ascii="Times New Roman" w:hAnsi="Times New Roman"/>
          <w:sz w:val="24"/>
          <w:szCs w:val="24"/>
        </w:rPr>
        <w:t>t the definition of special populations</w:t>
      </w:r>
      <w:r w:rsidR="00797FE4" w:rsidRPr="00C042D5">
        <w:rPr>
          <w:rFonts w:ascii="Times New Roman" w:hAnsi="Times New Roman"/>
          <w:sz w:val="24"/>
          <w:szCs w:val="24"/>
        </w:rPr>
        <w:t>;</w:t>
      </w:r>
      <w:r w:rsidR="006F4B95" w:rsidRPr="00C042D5">
        <w:rPr>
          <w:rFonts w:ascii="Times New Roman" w:hAnsi="Times New Roman"/>
          <w:sz w:val="24"/>
          <w:szCs w:val="24"/>
        </w:rPr>
        <w:t xml:space="preserve"> and </w:t>
      </w:r>
      <w:r w:rsidR="00C851FC" w:rsidRPr="00C042D5">
        <w:rPr>
          <w:rFonts w:ascii="Times New Roman" w:hAnsi="Times New Roman"/>
          <w:sz w:val="24"/>
          <w:szCs w:val="24"/>
        </w:rPr>
        <w:t>16</w:t>
      </w:r>
      <w:r w:rsidR="006C6D92" w:rsidRPr="00C042D5">
        <w:rPr>
          <w:rFonts w:ascii="Times New Roman" w:hAnsi="Times New Roman"/>
          <w:sz w:val="24"/>
          <w:szCs w:val="24"/>
        </w:rPr>
        <w:t xml:space="preserve"> percent</w:t>
      </w:r>
      <w:r w:rsidR="006F4B95" w:rsidRPr="00C042D5">
        <w:rPr>
          <w:rFonts w:ascii="Times New Roman" w:hAnsi="Times New Roman"/>
          <w:sz w:val="24"/>
          <w:szCs w:val="24"/>
        </w:rPr>
        <w:t xml:space="preserve"> </w:t>
      </w:r>
      <w:r w:rsidR="00797FE4" w:rsidRPr="00C042D5">
        <w:rPr>
          <w:rFonts w:ascii="Times New Roman" w:hAnsi="Times New Roman"/>
          <w:sz w:val="24"/>
          <w:szCs w:val="24"/>
        </w:rPr>
        <w:t xml:space="preserve">of the </w:t>
      </w:r>
      <w:r w:rsidR="00C851FC" w:rsidRPr="00C042D5">
        <w:rPr>
          <w:rFonts w:ascii="Times New Roman" w:hAnsi="Times New Roman"/>
          <w:sz w:val="24"/>
          <w:szCs w:val="24"/>
        </w:rPr>
        <w:t>284,977</w:t>
      </w:r>
      <w:r w:rsidR="00797FE4" w:rsidRPr="00C042D5">
        <w:rPr>
          <w:rFonts w:ascii="Times New Roman" w:hAnsi="Times New Roman"/>
          <w:sz w:val="24"/>
          <w:szCs w:val="24"/>
        </w:rPr>
        <w:t xml:space="preserve"> students </w:t>
      </w:r>
      <w:r w:rsidRPr="00C042D5">
        <w:rPr>
          <w:rFonts w:ascii="Times New Roman" w:hAnsi="Times New Roman"/>
          <w:sz w:val="24"/>
          <w:szCs w:val="24"/>
        </w:rPr>
        <w:t xml:space="preserve">were </w:t>
      </w:r>
      <w:r w:rsidR="00797FE4" w:rsidRPr="00C042D5">
        <w:rPr>
          <w:rFonts w:ascii="Times New Roman" w:hAnsi="Times New Roman"/>
          <w:sz w:val="24"/>
          <w:szCs w:val="24"/>
        </w:rPr>
        <w:t xml:space="preserve">enrolled in </w:t>
      </w:r>
      <w:r w:rsidRPr="00C042D5">
        <w:rPr>
          <w:rFonts w:ascii="Times New Roman" w:hAnsi="Times New Roman"/>
          <w:sz w:val="24"/>
          <w:szCs w:val="24"/>
        </w:rPr>
        <w:t>a</w:t>
      </w:r>
      <w:r w:rsidR="00797FE4" w:rsidRPr="00C042D5">
        <w:rPr>
          <w:rFonts w:ascii="Times New Roman" w:hAnsi="Times New Roman"/>
          <w:sz w:val="24"/>
          <w:szCs w:val="24"/>
        </w:rPr>
        <w:t xml:space="preserve"> </w:t>
      </w:r>
      <w:r w:rsidR="006F4B95" w:rsidRPr="00C042D5">
        <w:rPr>
          <w:rFonts w:ascii="Times New Roman" w:hAnsi="Times New Roman"/>
          <w:sz w:val="24"/>
          <w:szCs w:val="24"/>
        </w:rPr>
        <w:t>non-traditional field</w:t>
      </w:r>
      <w:r w:rsidR="00797FE4" w:rsidRPr="00C042D5">
        <w:rPr>
          <w:rFonts w:ascii="Times New Roman" w:hAnsi="Times New Roman"/>
          <w:sz w:val="24"/>
          <w:szCs w:val="24"/>
        </w:rPr>
        <w:t>.</w:t>
      </w:r>
    </w:p>
    <w:p w:rsidR="00C042D5" w:rsidRDefault="00C042D5" w:rsidP="00C042D5">
      <w:pPr>
        <w:spacing w:after="0" w:line="240" w:lineRule="auto"/>
        <w:rPr>
          <w:rFonts w:ascii="Times New Roman" w:hAnsi="Times New Roman"/>
          <w:sz w:val="24"/>
          <w:szCs w:val="24"/>
        </w:rPr>
      </w:pPr>
    </w:p>
    <w:p w:rsidR="008645DA" w:rsidRPr="00C042D5" w:rsidRDefault="008645DA" w:rsidP="00C042D5">
      <w:pPr>
        <w:spacing w:after="0" w:line="240" w:lineRule="auto"/>
        <w:rPr>
          <w:rFonts w:ascii="Times New Roman" w:hAnsi="Times New Roman"/>
          <w:sz w:val="24"/>
          <w:szCs w:val="24"/>
        </w:rPr>
      </w:pPr>
      <w:r w:rsidRPr="00C042D5">
        <w:rPr>
          <w:rFonts w:ascii="Times New Roman" w:hAnsi="Times New Roman"/>
          <w:sz w:val="24"/>
          <w:szCs w:val="24"/>
        </w:rPr>
        <w:t>When submitting a Perkins financial reimbursement request</w:t>
      </w:r>
      <w:r w:rsidR="005369DD" w:rsidRPr="00C042D5">
        <w:rPr>
          <w:rFonts w:ascii="Times New Roman" w:hAnsi="Times New Roman"/>
          <w:sz w:val="24"/>
          <w:szCs w:val="24"/>
        </w:rPr>
        <w:t xml:space="preserve"> through OMEGA for CTSO registration, transportation, lodging, and meals to CTSO regional, state and national conferences, </w:t>
      </w:r>
      <w:r w:rsidRPr="00C042D5">
        <w:rPr>
          <w:rFonts w:ascii="Times New Roman" w:hAnsi="Times New Roman"/>
          <w:sz w:val="24"/>
          <w:szCs w:val="24"/>
        </w:rPr>
        <w:t xml:space="preserve">each request must </w:t>
      </w:r>
      <w:r w:rsidR="005369DD" w:rsidRPr="00C042D5">
        <w:rPr>
          <w:rFonts w:ascii="Times New Roman" w:hAnsi="Times New Roman"/>
          <w:sz w:val="24"/>
          <w:szCs w:val="24"/>
        </w:rPr>
        <w:t>explain</w:t>
      </w:r>
      <w:r w:rsidRPr="00C042D5">
        <w:rPr>
          <w:rFonts w:ascii="Times New Roman" w:hAnsi="Times New Roman"/>
          <w:sz w:val="24"/>
          <w:szCs w:val="24"/>
        </w:rPr>
        <w:t xml:space="preserve"> the expenditure </w:t>
      </w:r>
      <w:r w:rsidR="005369DD" w:rsidRPr="00C042D5">
        <w:rPr>
          <w:rFonts w:ascii="Times New Roman" w:hAnsi="Times New Roman"/>
          <w:sz w:val="24"/>
          <w:szCs w:val="24"/>
        </w:rPr>
        <w:t xml:space="preserve">in the </w:t>
      </w:r>
      <w:r w:rsidRPr="00C042D5">
        <w:rPr>
          <w:rFonts w:ascii="Times New Roman" w:hAnsi="Times New Roman"/>
          <w:sz w:val="24"/>
          <w:szCs w:val="24"/>
        </w:rPr>
        <w:t>description field</w:t>
      </w:r>
      <w:r w:rsidR="00683849" w:rsidRPr="00C042D5">
        <w:rPr>
          <w:rFonts w:ascii="Times New Roman" w:hAnsi="Times New Roman"/>
          <w:sz w:val="24"/>
          <w:szCs w:val="24"/>
        </w:rPr>
        <w:t>, p</w:t>
      </w:r>
      <w:r w:rsidR="005369DD" w:rsidRPr="00C042D5">
        <w:rPr>
          <w:rFonts w:ascii="Times New Roman" w:hAnsi="Times New Roman"/>
          <w:sz w:val="24"/>
          <w:szCs w:val="24"/>
        </w:rPr>
        <w:t xml:space="preserve">rovide </w:t>
      </w:r>
      <w:r w:rsidRPr="00C042D5">
        <w:rPr>
          <w:rFonts w:ascii="Times New Roman" w:hAnsi="Times New Roman"/>
          <w:sz w:val="24"/>
          <w:szCs w:val="24"/>
        </w:rPr>
        <w:t xml:space="preserve">the total number of students </w:t>
      </w:r>
      <w:r w:rsidR="005369DD" w:rsidRPr="00C042D5">
        <w:rPr>
          <w:rFonts w:ascii="Times New Roman" w:hAnsi="Times New Roman"/>
          <w:sz w:val="24"/>
          <w:szCs w:val="24"/>
        </w:rPr>
        <w:t>who</w:t>
      </w:r>
      <w:r w:rsidRPr="00C042D5">
        <w:rPr>
          <w:rFonts w:ascii="Times New Roman" w:hAnsi="Times New Roman"/>
          <w:sz w:val="24"/>
          <w:szCs w:val="24"/>
        </w:rPr>
        <w:t xml:space="preserve"> participated</w:t>
      </w:r>
      <w:r w:rsidR="00683849" w:rsidRPr="00C042D5">
        <w:rPr>
          <w:rFonts w:ascii="Times New Roman" w:hAnsi="Times New Roman"/>
          <w:sz w:val="24"/>
          <w:szCs w:val="24"/>
        </w:rPr>
        <w:t>,</w:t>
      </w:r>
      <w:r w:rsidRPr="00C042D5">
        <w:rPr>
          <w:rFonts w:ascii="Times New Roman" w:hAnsi="Times New Roman"/>
          <w:sz w:val="24"/>
          <w:szCs w:val="24"/>
        </w:rPr>
        <w:t xml:space="preserve"> </w:t>
      </w:r>
      <w:r w:rsidR="005369DD" w:rsidRPr="00C042D5">
        <w:rPr>
          <w:rFonts w:ascii="Times New Roman" w:hAnsi="Times New Roman"/>
          <w:sz w:val="24"/>
          <w:szCs w:val="24"/>
        </w:rPr>
        <w:t xml:space="preserve">and </w:t>
      </w:r>
      <w:r w:rsidRPr="00C042D5">
        <w:rPr>
          <w:rFonts w:ascii="Times New Roman" w:hAnsi="Times New Roman"/>
          <w:sz w:val="24"/>
          <w:szCs w:val="24"/>
        </w:rPr>
        <w:t>satisfy the definition of special populations and/or non-traditional fields. For example:</w:t>
      </w:r>
    </w:p>
    <w:p w:rsidR="008645DA" w:rsidRPr="00C042D5" w:rsidRDefault="008645DA" w:rsidP="00C042D5">
      <w:pPr>
        <w:spacing w:after="0" w:line="240" w:lineRule="auto"/>
        <w:rPr>
          <w:rFonts w:ascii="Times New Roman" w:hAnsi="Times New Roman"/>
          <w:sz w:val="24"/>
          <w:szCs w:val="24"/>
        </w:rPr>
      </w:pPr>
    </w:p>
    <w:p w:rsidR="008645DA" w:rsidRPr="00C042D5" w:rsidRDefault="008645DA" w:rsidP="00C042D5">
      <w:pPr>
        <w:spacing w:after="0" w:line="240" w:lineRule="auto"/>
        <w:ind w:left="360" w:right="900"/>
        <w:rPr>
          <w:rFonts w:ascii="Times New Roman" w:hAnsi="Times New Roman"/>
          <w:sz w:val="24"/>
          <w:szCs w:val="24"/>
        </w:rPr>
      </w:pPr>
      <w:r w:rsidRPr="00C042D5">
        <w:rPr>
          <w:rFonts w:ascii="Times New Roman" w:hAnsi="Times New Roman"/>
          <w:sz w:val="24"/>
          <w:szCs w:val="24"/>
        </w:rPr>
        <w:t xml:space="preserve">“Ten students </w:t>
      </w:r>
      <w:r w:rsidR="00683849" w:rsidRPr="00C042D5">
        <w:rPr>
          <w:rFonts w:ascii="Times New Roman" w:hAnsi="Times New Roman"/>
          <w:sz w:val="24"/>
          <w:szCs w:val="24"/>
        </w:rPr>
        <w:t xml:space="preserve">and one teacher </w:t>
      </w:r>
      <w:r w:rsidRPr="00C042D5">
        <w:rPr>
          <w:rFonts w:ascii="Times New Roman" w:hAnsi="Times New Roman"/>
          <w:sz w:val="24"/>
          <w:szCs w:val="24"/>
        </w:rPr>
        <w:t xml:space="preserve">from </w:t>
      </w:r>
      <w:r w:rsidR="00D10D16" w:rsidRPr="00C042D5">
        <w:rPr>
          <w:rFonts w:ascii="Times New Roman" w:hAnsi="Times New Roman"/>
          <w:sz w:val="24"/>
          <w:szCs w:val="24"/>
        </w:rPr>
        <w:t>J. T. Barber High School</w:t>
      </w:r>
      <w:r w:rsidRPr="00C042D5">
        <w:rPr>
          <w:rFonts w:ascii="Times New Roman" w:hAnsi="Times New Roman"/>
          <w:sz w:val="24"/>
          <w:szCs w:val="24"/>
        </w:rPr>
        <w:t xml:space="preserve"> attended the Northern Regional TSA Spring Leadership Conference on March 7, 2015. Seven students were from special populations, three students were from a non-tr</w:t>
      </w:r>
      <w:r w:rsidR="00683849" w:rsidRPr="00C042D5">
        <w:rPr>
          <w:rFonts w:ascii="Times New Roman" w:hAnsi="Times New Roman"/>
          <w:sz w:val="24"/>
          <w:szCs w:val="24"/>
        </w:rPr>
        <w:t>aditional field.</w:t>
      </w:r>
      <w:r w:rsidRPr="00C042D5">
        <w:rPr>
          <w:rFonts w:ascii="Times New Roman" w:hAnsi="Times New Roman"/>
          <w:sz w:val="24"/>
          <w:szCs w:val="24"/>
        </w:rPr>
        <w:t>”</w:t>
      </w:r>
    </w:p>
    <w:p w:rsidR="000B034A" w:rsidRPr="00C042D5" w:rsidRDefault="000B034A" w:rsidP="00C042D5">
      <w:pPr>
        <w:spacing w:after="0" w:line="240" w:lineRule="auto"/>
        <w:ind w:left="360" w:right="900"/>
        <w:rPr>
          <w:rFonts w:ascii="Times New Roman" w:hAnsi="Times New Roman"/>
          <w:sz w:val="24"/>
          <w:szCs w:val="24"/>
        </w:rPr>
      </w:pPr>
    </w:p>
    <w:p w:rsidR="008645DA" w:rsidRPr="00C042D5" w:rsidRDefault="005369DD" w:rsidP="00C042D5">
      <w:pPr>
        <w:spacing w:after="0" w:line="240" w:lineRule="auto"/>
        <w:rPr>
          <w:rFonts w:ascii="Times New Roman" w:hAnsi="Times New Roman"/>
          <w:sz w:val="24"/>
          <w:szCs w:val="24"/>
        </w:rPr>
      </w:pPr>
      <w:r w:rsidRPr="00C042D5">
        <w:rPr>
          <w:rFonts w:ascii="Times New Roman" w:hAnsi="Times New Roman"/>
          <w:sz w:val="24"/>
          <w:szCs w:val="24"/>
        </w:rPr>
        <w:t>Further, t</w:t>
      </w:r>
      <w:r w:rsidR="008645DA" w:rsidRPr="00C042D5">
        <w:rPr>
          <w:rFonts w:ascii="Times New Roman" w:hAnsi="Times New Roman"/>
          <w:sz w:val="24"/>
          <w:szCs w:val="24"/>
        </w:rPr>
        <w:t xml:space="preserve">he </w:t>
      </w:r>
      <w:r w:rsidR="008645DA" w:rsidRPr="00586E79">
        <w:rPr>
          <w:rFonts w:ascii="Times New Roman" w:hAnsi="Times New Roman"/>
          <w:sz w:val="24"/>
          <w:szCs w:val="24"/>
        </w:rPr>
        <w:t>CTE equipment list</w:t>
      </w:r>
      <w:r w:rsidRPr="00C042D5">
        <w:rPr>
          <w:rFonts w:ascii="Times New Roman" w:hAnsi="Times New Roman"/>
          <w:sz w:val="24"/>
          <w:szCs w:val="24"/>
        </w:rPr>
        <w:t xml:space="preserve"> for “across-the-board</w:t>
      </w:r>
      <w:r w:rsidR="008645DA" w:rsidRPr="00C042D5">
        <w:rPr>
          <w:rFonts w:ascii="Times New Roman" w:hAnsi="Times New Roman"/>
          <w:sz w:val="24"/>
          <w:szCs w:val="24"/>
        </w:rPr>
        <w:t xml:space="preserve">” </w:t>
      </w:r>
      <w:proofErr w:type="gramStart"/>
      <w:r w:rsidR="008645DA" w:rsidRPr="00C042D5">
        <w:rPr>
          <w:rFonts w:ascii="Times New Roman" w:hAnsi="Times New Roman"/>
          <w:sz w:val="24"/>
          <w:szCs w:val="24"/>
        </w:rPr>
        <w:t>has been updated</w:t>
      </w:r>
      <w:proofErr w:type="gramEnd"/>
      <w:r w:rsidR="008645DA" w:rsidRPr="00C042D5">
        <w:rPr>
          <w:rFonts w:ascii="Times New Roman" w:hAnsi="Times New Roman"/>
          <w:sz w:val="24"/>
          <w:szCs w:val="24"/>
        </w:rPr>
        <w:t xml:space="preserve"> to reflect CTSO instructional resources approved for use of Perkins funds. </w:t>
      </w:r>
    </w:p>
    <w:p w:rsidR="00C042D5" w:rsidRDefault="00C042D5" w:rsidP="00C042D5">
      <w:pPr>
        <w:spacing w:after="0" w:line="240" w:lineRule="auto"/>
        <w:rPr>
          <w:rFonts w:ascii="Times New Roman" w:hAnsi="Times New Roman"/>
          <w:sz w:val="24"/>
          <w:szCs w:val="24"/>
        </w:rPr>
      </w:pPr>
    </w:p>
    <w:p w:rsidR="008645DA" w:rsidRPr="00C042D5" w:rsidRDefault="008645DA" w:rsidP="00C042D5">
      <w:pPr>
        <w:spacing w:after="0" w:line="240" w:lineRule="auto"/>
        <w:rPr>
          <w:rFonts w:ascii="Times New Roman" w:hAnsi="Times New Roman"/>
          <w:sz w:val="24"/>
          <w:szCs w:val="24"/>
        </w:rPr>
      </w:pPr>
      <w:r w:rsidRPr="00C042D5">
        <w:rPr>
          <w:rFonts w:ascii="Times New Roman" w:hAnsi="Times New Roman"/>
          <w:sz w:val="24"/>
          <w:szCs w:val="24"/>
        </w:rPr>
        <w:t xml:space="preserve">In accordance with the </w:t>
      </w:r>
      <w:hyperlink r:id="rId11" w:history="1">
        <w:r w:rsidR="006E3EB5" w:rsidRPr="00C042D5">
          <w:rPr>
            <w:rStyle w:val="Hyperlink"/>
            <w:rFonts w:ascii="Times New Roman" w:hAnsi="Times New Roman"/>
            <w:sz w:val="24"/>
            <w:szCs w:val="24"/>
          </w:rPr>
          <w:t>Perkins Act of 2006, Title III, General Provisions, Part A</w:t>
        </w:r>
      </w:hyperlink>
      <w:r w:rsidRPr="00C042D5">
        <w:rPr>
          <w:rFonts w:ascii="Times New Roman" w:hAnsi="Times New Roman"/>
          <w:sz w:val="24"/>
          <w:szCs w:val="24"/>
        </w:rPr>
        <w:t>, the use of Perkins funds shall supplement, and not supplant, non-Federal funds expended to carry out career and technical education activities.</w:t>
      </w:r>
    </w:p>
    <w:p w:rsidR="00C042D5" w:rsidRDefault="00C042D5" w:rsidP="00C042D5">
      <w:pPr>
        <w:spacing w:after="0" w:line="240" w:lineRule="auto"/>
        <w:rPr>
          <w:rFonts w:ascii="Times New Roman" w:hAnsi="Times New Roman"/>
          <w:b/>
          <w:sz w:val="24"/>
          <w:szCs w:val="24"/>
        </w:rPr>
      </w:pPr>
    </w:p>
    <w:p w:rsidR="008645DA" w:rsidRPr="00034984" w:rsidRDefault="008645DA" w:rsidP="00034984">
      <w:pPr>
        <w:pStyle w:val="Heading3"/>
      </w:pPr>
      <w:r w:rsidRPr="00034984">
        <w:t>State Career and Technical Education Regulations</w:t>
      </w:r>
    </w:p>
    <w:p w:rsidR="008645DA" w:rsidRPr="00C042D5" w:rsidRDefault="00E56F2C" w:rsidP="00C042D5">
      <w:pPr>
        <w:spacing w:after="0" w:line="240" w:lineRule="auto"/>
        <w:rPr>
          <w:rFonts w:ascii="Times New Roman" w:hAnsi="Times New Roman"/>
          <w:sz w:val="24"/>
          <w:szCs w:val="24"/>
        </w:rPr>
      </w:pPr>
      <w:r w:rsidRPr="00C042D5">
        <w:rPr>
          <w:rFonts w:ascii="Times New Roman" w:hAnsi="Times New Roman"/>
          <w:sz w:val="24"/>
          <w:szCs w:val="24"/>
        </w:rPr>
        <w:t>“</w:t>
      </w:r>
      <w:r w:rsidR="00B57E8E" w:rsidRPr="00C042D5">
        <w:rPr>
          <w:rFonts w:ascii="Times New Roman" w:hAnsi="Times New Roman"/>
          <w:sz w:val="24"/>
          <w:szCs w:val="24"/>
        </w:rPr>
        <w:t>All career and technical education students shall be provided opportunities to participate in instructional activities</w:t>
      </w:r>
      <w:r w:rsidR="00EA7AFF" w:rsidRPr="00C042D5">
        <w:rPr>
          <w:rFonts w:ascii="Times New Roman" w:hAnsi="Times New Roman"/>
          <w:sz w:val="24"/>
          <w:szCs w:val="24"/>
        </w:rPr>
        <w:t>.</w:t>
      </w:r>
      <w:r w:rsidR="004D5452" w:rsidRPr="00C042D5">
        <w:rPr>
          <w:rFonts w:ascii="Times New Roman" w:hAnsi="Times New Roman"/>
          <w:sz w:val="24"/>
          <w:szCs w:val="24"/>
        </w:rPr>
        <w:t xml:space="preserve"> </w:t>
      </w:r>
      <w:r w:rsidRPr="00C042D5">
        <w:rPr>
          <w:rFonts w:ascii="Times New Roman" w:hAnsi="Times New Roman"/>
          <w:sz w:val="24"/>
          <w:szCs w:val="24"/>
        </w:rPr>
        <w:t xml:space="preserve">Each middle school career and technical education program (grades 6, 7, 8) offered shall include co-curricular instructional activities related to the respective career and technical education student organization.  </w:t>
      </w:r>
      <w:r w:rsidR="00EA7AFF" w:rsidRPr="00C042D5">
        <w:rPr>
          <w:rFonts w:ascii="Times New Roman" w:hAnsi="Times New Roman"/>
          <w:sz w:val="24"/>
          <w:szCs w:val="24"/>
        </w:rPr>
        <w:t>A career and technical education student organization shall be an integral and active part of each</w:t>
      </w:r>
      <w:r w:rsidR="004D5452" w:rsidRPr="00C042D5">
        <w:rPr>
          <w:rFonts w:ascii="Times New Roman" w:hAnsi="Times New Roman"/>
          <w:sz w:val="24"/>
          <w:szCs w:val="24"/>
        </w:rPr>
        <w:t xml:space="preserve"> secondary career and technical program </w:t>
      </w:r>
      <w:r w:rsidRPr="00C042D5">
        <w:rPr>
          <w:rFonts w:ascii="Times New Roman" w:hAnsi="Times New Roman"/>
          <w:sz w:val="24"/>
          <w:szCs w:val="24"/>
        </w:rPr>
        <w:t xml:space="preserve">(grades 9, 10, 11, 12) offered. </w:t>
      </w:r>
      <w:r w:rsidR="00861BB9" w:rsidRPr="00C042D5">
        <w:rPr>
          <w:rFonts w:ascii="Times New Roman" w:hAnsi="Times New Roman"/>
          <w:sz w:val="24"/>
          <w:szCs w:val="24"/>
        </w:rPr>
        <w:t xml:space="preserve"> </w:t>
      </w:r>
      <w:r w:rsidRPr="00C042D5">
        <w:rPr>
          <w:rFonts w:ascii="Times New Roman" w:hAnsi="Times New Roman"/>
          <w:sz w:val="24"/>
          <w:szCs w:val="24"/>
        </w:rPr>
        <w:t>When dues are collected for membership in such organizations, payment of such dues shall not determine a student’s participation in instructional activities of the local organization</w:t>
      </w:r>
      <w:r w:rsidR="00DF0E12" w:rsidRPr="00C042D5">
        <w:rPr>
          <w:rFonts w:ascii="Times New Roman" w:hAnsi="Times New Roman"/>
          <w:sz w:val="24"/>
          <w:szCs w:val="24"/>
        </w:rPr>
        <w:t>”</w:t>
      </w:r>
      <w:r w:rsidRPr="00C042D5">
        <w:rPr>
          <w:rFonts w:ascii="Times New Roman" w:hAnsi="Times New Roman"/>
          <w:sz w:val="24"/>
          <w:szCs w:val="24"/>
        </w:rPr>
        <w:t xml:space="preserve"> </w:t>
      </w:r>
      <w:hyperlink r:id="rId12" w:history="1">
        <w:r w:rsidR="00D10D16" w:rsidRPr="00586E79">
          <w:rPr>
            <w:rStyle w:val="Hyperlink"/>
            <w:rFonts w:ascii="Times New Roman" w:hAnsi="Times New Roman"/>
            <w:sz w:val="24"/>
            <w:szCs w:val="24"/>
          </w:rPr>
          <w:t>(</w:t>
        </w:r>
        <w:r w:rsidRPr="00586E79">
          <w:rPr>
            <w:rStyle w:val="Hyperlink"/>
            <w:rFonts w:ascii="Times New Roman" w:hAnsi="Times New Roman"/>
            <w:sz w:val="24"/>
            <w:szCs w:val="24"/>
          </w:rPr>
          <w:t>8VAC20-120-160</w:t>
        </w:r>
        <w:r w:rsidR="00D10D16" w:rsidRPr="00586E79">
          <w:rPr>
            <w:rStyle w:val="Hyperlink"/>
            <w:rFonts w:ascii="Times New Roman" w:hAnsi="Times New Roman"/>
            <w:sz w:val="24"/>
            <w:szCs w:val="24"/>
          </w:rPr>
          <w:t>).</w:t>
        </w:r>
      </w:hyperlink>
      <w:r w:rsidR="00D10D16" w:rsidRPr="00C042D5">
        <w:rPr>
          <w:rFonts w:ascii="Times New Roman" w:hAnsi="Times New Roman"/>
          <w:sz w:val="24"/>
          <w:szCs w:val="24"/>
        </w:rPr>
        <w:t xml:space="preserve"> </w:t>
      </w:r>
      <w:r w:rsidR="008645DA" w:rsidRPr="00C042D5">
        <w:rPr>
          <w:rFonts w:ascii="Times New Roman" w:hAnsi="Times New Roman"/>
          <w:sz w:val="24"/>
          <w:szCs w:val="24"/>
        </w:rPr>
        <w:t>Note: Perkins funds may only be used for grades 7 through 12.</w:t>
      </w:r>
      <w:bookmarkStart w:id="0" w:name="_GoBack"/>
      <w:bookmarkEnd w:id="0"/>
    </w:p>
    <w:p w:rsidR="00C042D5" w:rsidRDefault="00C042D5" w:rsidP="00C042D5">
      <w:pPr>
        <w:spacing w:after="0" w:line="240" w:lineRule="auto"/>
        <w:rPr>
          <w:rFonts w:ascii="Times New Roman" w:hAnsi="Times New Roman"/>
          <w:sz w:val="24"/>
          <w:szCs w:val="24"/>
        </w:rPr>
      </w:pPr>
    </w:p>
    <w:p w:rsidR="009152D6" w:rsidRPr="00C042D5" w:rsidRDefault="009152D6" w:rsidP="00C042D5">
      <w:pPr>
        <w:spacing w:after="0" w:line="240" w:lineRule="auto"/>
        <w:rPr>
          <w:rFonts w:ascii="Times New Roman" w:hAnsi="Times New Roman"/>
          <w:sz w:val="24"/>
          <w:szCs w:val="24"/>
        </w:rPr>
      </w:pPr>
      <w:r w:rsidRPr="00C042D5">
        <w:rPr>
          <w:rFonts w:ascii="Times New Roman" w:hAnsi="Times New Roman"/>
          <w:sz w:val="24"/>
          <w:szCs w:val="24"/>
        </w:rPr>
        <w:t xml:space="preserve">Students who </w:t>
      </w:r>
      <w:proofErr w:type="gramStart"/>
      <w:r w:rsidRPr="00C042D5">
        <w:rPr>
          <w:rFonts w:ascii="Times New Roman" w:hAnsi="Times New Roman"/>
          <w:sz w:val="24"/>
          <w:szCs w:val="24"/>
        </w:rPr>
        <w:t>are enrolled</w:t>
      </w:r>
      <w:proofErr w:type="gramEnd"/>
      <w:r w:rsidRPr="00C042D5">
        <w:rPr>
          <w:rFonts w:ascii="Times New Roman" w:hAnsi="Times New Roman"/>
          <w:sz w:val="24"/>
          <w:szCs w:val="24"/>
        </w:rPr>
        <w:t xml:space="preserve"> in a CTE course within a program area </w:t>
      </w:r>
      <w:r w:rsidR="00E56F2C" w:rsidRPr="00C042D5">
        <w:rPr>
          <w:rFonts w:ascii="Times New Roman" w:hAnsi="Times New Roman"/>
          <w:sz w:val="24"/>
          <w:szCs w:val="24"/>
        </w:rPr>
        <w:t>shall</w:t>
      </w:r>
      <w:r w:rsidRPr="00C042D5">
        <w:rPr>
          <w:rFonts w:ascii="Times New Roman" w:hAnsi="Times New Roman"/>
          <w:sz w:val="24"/>
          <w:szCs w:val="24"/>
        </w:rPr>
        <w:t xml:space="preserve"> have the opportunity to participate in the CTSO that supports the program area.  Participation in a secondary CTSO would be permitted </w:t>
      </w:r>
      <w:r w:rsidR="00E56F2C" w:rsidRPr="00C042D5">
        <w:rPr>
          <w:rFonts w:ascii="Times New Roman" w:hAnsi="Times New Roman"/>
          <w:sz w:val="24"/>
          <w:szCs w:val="24"/>
        </w:rPr>
        <w:t xml:space="preserve">only </w:t>
      </w:r>
      <w:r w:rsidRPr="00C042D5">
        <w:rPr>
          <w:rFonts w:ascii="Times New Roman" w:hAnsi="Times New Roman"/>
          <w:sz w:val="24"/>
          <w:szCs w:val="24"/>
        </w:rPr>
        <w:t>if the student is an active participa</w:t>
      </w:r>
      <w:r w:rsidR="00340CDF" w:rsidRPr="00C042D5">
        <w:rPr>
          <w:rFonts w:ascii="Times New Roman" w:hAnsi="Times New Roman"/>
          <w:sz w:val="24"/>
          <w:szCs w:val="24"/>
        </w:rPr>
        <w:t>n</w:t>
      </w:r>
      <w:r w:rsidRPr="00C042D5">
        <w:rPr>
          <w:rFonts w:ascii="Times New Roman" w:hAnsi="Times New Roman"/>
          <w:sz w:val="24"/>
          <w:szCs w:val="24"/>
        </w:rPr>
        <w:t>t in the primary CTSO that supports the program area.</w:t>
      </w:r>
    </w:p>
    <w:p w:rsidR="00C042D5" w:rsidRDefault="00C042D5" w:rsidP="00C042D5">
      <w:pPr>
        <w:tabs>
          <w:tab w:val="left" w:pos="360"/>
          <w:tab w:val="left" w:pos="720"/>
          <w:tab w:val="left" w:pos="1080"/>
        </w:tabs>
        <w:spacing w:after="0" w:line="240" w:lineRule="auto"/>
        <w:rPr>
          <w:rFonts w:ascii="Times New Roman" w:hAnsi="Times New Roman"/>
          <w:b/>
          <w:sz w:val="24"/>
          <w:szCs w:val="24"/>
        </w:rPr>
      </w:pPr>
    </w:p>
    <w:p w:rsidR="003C6008" w:rsidRPr="00C042D5" w:rsidRDefault="00034984" w:rsidP="00034984">
      <w:pPr>
        <w:pStyle w:val="Heading3"/>
      </w:pPr>
      <w:r>
        <w:t>Professional Development</w:t>
      </w:r>
    </w:p>
    <w:p w:rsidR="009152D6" w:rsidRPr="00C042D5" w:rsidRDefault="009152D6" w:rsidP="00C042D5">
      <w:pPr>
        <w:spacing w:after="0" w:line="240" w:lineRule="auto"/>
        <w:rPr>
          <w:rFonts w:ascii="Times New Roman" w:hAnsi="Times New Roman"/>
          <w:sz w:val="24"/>
          <w:szCs w:val="24"/>
        </w:rPr>
      </w:pPr>
      <w:r w:rsidRPr="00C042D5">
        <w:rPr>
          <w:rFonts w:ascii="Times New Roman" w:hAnsi="Times New Roman"/>
          <w:sz w:val="24"/>
          <w:szCs w:val="24"/>
        </w:rPr>
        <w:t xml:space="preserve">The Office of Career and Technical Education will conduct a special </w:t>
      </w:r>
      <w:r w:rsidR="00340CDF" w:rsidRPr="00C042D5">
        <w:rPr>
          <w:rFonts w:ascii="Times New Roman" w:hAnsi="Times New Roman"/>
          <w:sz w:val="24"/>
          <w:szCs w:val="24"/>
        </w:rPr>
        <w:t>2014-2015 Perkins Local Plan Update</w:t>
      </w:r>
      <w:r w:rsidR="00B57E8E" w:rsidRPr="00C042D5">
        <w:rPr>
          <w:rFonts w:ascii="Times New Roman" w:hAnsi="Times New Roman"/>
          <w:sz w:val="24"/>
          <w:szCs w:val="24"/>
        </w:rPr>
        <w:t xml:space="preserve"> </w:t>
      </w:r>
      <w:r w:rsidRPr="00C042D5">
        <w:rPr>
          <w:rFonts w:ascii="Times New Roman" w:hAnsi="Times New Roman"/>
          <w:sz w:val="24"/>
          <w:szCs w:val="24"/>
        </w:rPr>
        <w:t xml:space="preserve">video streaming administrator session </w:t>
      </w:r>
      <w:r w:rsidRPr="00C042D5">
        <w:rPr>
          <w:rFonts w:ascii="Times New Roman" w:hAnsi="Times New Roman"/>
          <w:color w:val="000000" w:themeColor="text1"/>
          <w:sz w:val="24"/>
          <w:szCs w:val="24"/>
        </w:rPr>
        <w:t xml:space="preserve">on </w:t>
      </w:r>
      <w:r w:rsidR="00340CDF" w:rsidRPr="00C042D5">
        <w:rPr>
          <w:rFonts w:ascii="Times New Roman" w:hAnsi="Times New Roman"/>
          <w:color w:val="000000" w:themeColor="text1"/>
          <w:sz w:val="24"/>
          <w:szCs w:val="24"/>
        </w:rPr>
        <w:t>Thursday, February 5</w:t>
      </w:r>
      <w:r w:rsidRPr="00C042D5">
        <w:rPr>
          <w:rFonts w:ascii="Times New Roman" w:hAnsi="Times New Roman"/>
          <w:color w:val="000000" w:themeColor="text1"/>
          <w:sz w:val="24"/>
          <w:szCs w:val="24"/>
        </w:rPr>
        <w:t>, 2015, 1:30-3</w:t>
      </w:r>
      <w:r w:rsidR="00340CDF" w:rsidRPr="00C042D5">
        <w:rPr>
          <w:rFonts w:ascii="Times New Roman" w:hAnsi="Times New Roman"/>
          <w:color w:val="000000" w:themeColor="text1"/>
          <w:sz w:val="24"/>
          <w:szCs w:val="24"/>
        </w:rPr>
        <w:t>:00</w:t>
      </w:r>
      <w:r w:rsidRPr="00C042D5">
        <w:rPr>
          <w:rFonts w:ascii="Times New Roman" w:hAnsi="Times New Roman"/>
          <w:color w:val="000000" w:themeColor="text1"/>
          <w:sz w:val="24"/>
          <w:szCs w:val="24"/>
        </w:rPr>
        <w:t xml:space="preserve"> p.m.</w:t>
      </w:r>
      <w:r w:rsidR="00C042D5">
        <w:rPr>
          <w:rFonts w:ascii="Times New Roman" w:hAnsi="Times New Roman"/>
          <w:color w:val="000000" w:themeColor="text1"/>
          <w:sz w:val="24"/>
          <w:szCs w:val="24"/>
        </w:rPr>
        <w:t xml:space="preserve"> </w:t>
      </w:r>
      <w:r w:rsidRPr="00C042D5">
        <w:rPr>
          <w:rFonts w:ascii="Times New Roman" w:hAnsi="Times New Roman"/>
          <w:color w:val="000000" w:themeColor="text1"/>
          <w:sz w:val="24"/>
          <w:szCs w:val="24"/>
        </w:rPr>
        <w:t xml:space="preserve"> This professional development session will focus on </w:t>
      </w:r>
      <w:r w:rsidRPr="00C042D5">
        <w:rPr>
          <w:rFonts w:ascii="Times New Roman" w:hAnsi="Times New Roman"/>
          <w:i/>
          <w:iCs/>
          <w:color w:val="000000" w:themeColor="text1"/>
          <w:sz w:val="24"/>
          <w:szCs w:val="24"/>
        </w:rPr>
        <w:t>“Perkins Use of Funds for Career and Technical</w:t>
      </w:r>
      <w:r w:rsidRPr="00C042D5">
        <w:rPr>
          <w:rFonts w:ascii="Times New Roman" w:hAnsi="Times New Roman"/>
          <w:i/>
          <w:iCs/>
          <w:sz w:val="24"/>
          <w:szCs w:val="24"/>
        </w:rPr>
        <w:t xml:space="preserve"> Student Organizations (CTSO).”</w:t>
      </w:r>
    </w:p>
    <w:p w:rsidR="00C042D5" w:rsidRDefault="00C042D5" w:rsidP="00C042D5">
      <w:pPr>
        <w:spacing w:after="0" w:line="240" w:lineRule="auto"/>
        <w:rPr>
          <w:rFonts w:ascii="Times New Roman" w:hAnsi="Times New Roman"/>
          <w:sz w:val="24"/>
          <w:szCs w:val="24"/>
        </w:rPr>
      </w:pPr>
    </w:p>
    <w:p w:rsidR="00797FE4" w:rsidRPr="00C042D5" w:rsidRDefault="00797FE4" w:rsidP="00C042D5">
      <w:pPr>
        <w:spacing w:after="0" w:line="240" w:lineRule="auto"/>
        <w:rPr>
          <w:rFonts w:ascii="Times New Roman" w:hAnsi="Times New Roman"/>
          <w:sz w:val="24"/>
          <w:szCs w:val="24"/>
        </w:rPr>
      </w:pPr>
      <w:r w:rsidRPr="00C042D5">
        <w:rPr>
          <w:rFonts w:ascii="Times New Roman" w:hAnsi="Times New Roman"/>
          <w:sz w:val="24"/>
          <w:szCs w:val="24"/>
        </w:rPr>
        <w:t xml:space="preserve">If you have questions, contact George R. Willcox, coordinator for planning, administration, and accountability, Office of Career and Technical Education, at </w:t>
      </w:r>
      <w:hyperlink r:id="rId13" w:history="1">
        <w:r w:rsidRPr="00C042D5">
          <w:rPr>
            <w:rStyle w:val="Hyperlink"/>
            <w:rFonts w:ascii="Times New Roman" w:hAnsi="Times New Roman"/>
            <w:sz w:val="24"/>
            <w:szCs w:val="24"/>
          </w:rPr>
          <w:t>cte@doe.virginia.gov</w:t>
        </w:r>
      </w:hyperlink>
      <w:r w:rsidRPr="00C042D5">
        <w:rPr>
          <w:rFonts w:ascii="Times New Roman" w:hAnsi="Times New Roman"/>
          <w:sz w:val="24"/>
          <w:szCs w:val="24"/>
        </w:rPr>
        <w:t xml:space="preserve"> or 804 225-2052.</w:t>
      </w:r>
    </w:p>
    <w:p w:rsidR="00797FE4" w:rsidRPr="00C042D5" w:rsidRDefault="00797FE4" w:rsidP="00C042D5">
      <w:pPr>
        <w:spacing w:after="0" w:line="240" w:lineRule="auto"/>
        <w:rPr>
          <w:rFonts w:ascii="Times New Roman" w:hAnsi="Times New Roman"/>
          <w:sz w:val="24"/>
          <w:szCs w:val="24"/>
        </w:rPr>
      </w:pPr>
    </w:p>
    <w:p w:rsidR="006F4B95" w:rsidRDefault="00797FE4" w:rsidP="00C042D5">
      <w:pPr>
        <w:spacing w:after="0" w:line="240" w:lineRule="auto"/>
        <w:rPr>
          <w:rFonts w:ascii="Times New Roman" w:hAnsi="Times New Roman"/>
          <w:sz w:val="24"/>
          <w:szCs w:val="24"/>
        </w:rPr>
      </w:pPr>
      <w:r w:rsidRPr="00C042D5">
        <w:rPr>
          <w:rFonts w:ascii="Times New Roman" w:hAnsi="Times New Roman"/>
          <w:sz w:val="24"/>
          <w:szCs w:val="24"/>
        </w:rPr>
        <w:t>LBH/GRW/ab</w:t>
      </w:r>
    </w:p>
    <w:p w:rsidR="00C042D5" w:rsidRPr="00C042D5" w:rsidRDefault="00C042D5" w:rsidP="00C042D5">
      <w:pPr>
        <w:spacing w:after="0" w:line="240" w:lineRule="auto"/>
        <w:rPr>
          <w:rFonts w:ascii="Times New Roman" w:hAnsi="Times New Roman"/>
          <w:sz w:val="24"/>
          <w:szCs w:val="24"/>
        </w:rPr>
      </w:pPr>
    </w:p>
    <w:p w:rsidR="006F4B95" w:rsidRPr="00C042D5" w:rsidRDefault="00797FE4" w:rsidP="00C042D5">
      <w:pPr>
        <w:spacing w:after="0" w:line="240" w:lineRule="auto"/>
        <w:rPr>
          <w:rFonts w:ascii="Times New Roman" w:hAnsi="Times New Roman"/>
          <w:sz w:val="24"/>
          <w:szCs w:val="24"/>
        </w:rPr>
      </w:pPr>
      <w:r w:rsidRPr="00C042D5">
        <w:rPr>
          <w:rFonts w:ascii="Times New Roman" w:hAnsi="Times New Roman"/>
          <w:sz w:val="24"/>
          <w:szCs w:val="24"/>
        </w:rPr>
        <w:t>Copy:</w:t>
      </w:r>
      <w:r w:rsidRPr="00C042D5">
        <w:rPr>
          <w:rFonts w:ascii="Times New Roman" w:hAnsi="Times New Roman"/>
          <w:sz w:val="24"/>
          <w:szCs w:val="24"/>
        </w:rPr>
        <w:tab/>
        <w:t>CTSO State Advisors</w:t>
      </w:r>
    </w:p>
    <w:sectPr w:rsidR="006F4B95" w:rsidRPr="00C042D5" w:rsidSect="0040679C">
      <w:footerReference w:type="first" r:id="rId14"/>
      <w:pgSz w:w="12240" w:h="15840"/>
      <w:pgMar w:top="864" w:right="1440" w:bottom="864"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A4C" w:rsidRDefault="00707A4C" w:rsidP="005369DD">
      <w:pPr>
        <w:spacing w:after="0" w:line="240" w:lineRule="auto"/>
      </w:pPr>
      <w:r>
        <w:separator/>
      </w:r>
    </w:p>
    <w:p w:rsidR="00707A4C" w:rsidRDefault="00707A4C"/>
  </w:endnote>
  <w:endnote w:type="continuationSeparator" w:id="0">
    <w:p w:rsidR="00707A4C" w:rsidRDefault="00707A4C" w:rsidP="005369DD">
      <w:pPr>
        <w:spacing w:after="0" w:line="240" w:lineRule="auto"/>
      </w:pPr>
      <w:r>
        <w:continuationSeparator/>
      </w:r>
    </w:p>
    <w:p w:rsidR="00707A4C" w:rsidRDefault="00707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35208"/>
      <w:docPartObj>
        <w:docPartGallery w:val="Page Numbers (Bottom of Page)"/>
        <w:docPartUnique/>
      </w:docPartObj>
    </w:sdtPr>
    <w:sdtEndPr>
      <w:rPr>
        <w:noProof/>
      </w:rPr>
    </w:sdtEndPr>
    <w:sdtContent>
      <w:p w:rsidR="00C042D5" w:rsidRDefault="00C042D5">
        <w:pPr>
          <w:pStyle w:val="Footer"/>
          <w:jc w:val="center"/>
        </w:pPr>
        <w:r>
          <w:fldChar w:fldCharType="begin"/>
        </w:r>
        <w:r>
          <w:instrText xml:space="preserve"> PAGE   \* MERGEFORMAT </w:instrText>
        </w:r>
        <w:r>
          <w:fldChar w:fldCharType="separate"/>
        </w:r>
        <w:r w:rsidR="00586E79">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768008"/>
      <w:docPartObj>
        <w:docPartGallery w:val="Page Numbers (Bottom of Page)"/>
        <w:docPartUnique/>
      </w:docPartObj>
    </w:sdtPr>
    <w:sdtEndPr>
      <w:rPr>
        <w:noProof/>
      </w:rPr>
    </w:sdtEndPr>
    <w:sdtContent>
      <w:p w:rsidR="00C042D5" w:rsidRDefault="00C042D5">
        <w:pPr>
          <w:pStyle w:val="Footer"/>
          <w:jc w:val="center"/>
        </w:pPr>
        <w:r>
          <w:fldChar w:fldCharType="begin"/>
        </w:r>
        <w:r>
          <w:instrText xml:space="preserve"> PAGE   \* MERGEFORMAT </w:instrText>
        </w:r>
        <w:r>
          <w:fldChar w:fldCharType="separate"/>
        </w:r>
        <w:r w:rsidR="00586E7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A4C" w:rsidRDefault="00707A4C" w:rsidP="005369DD">
      <w:pPr>
        <w:spacing w:after="0" w:line="240" w:lineRule="auto"/>
      </w:pPr>
      <w:r>
        <w:separator/>
      </w:r>
    </w:p>
    <w:p w:rsidR="00707A4C" w:rsidRDefault="00707A4C"/>
  </w:footnote>
  <w:footnote w:type="continuationSeparator" w:id="0">
    <w:p w:rsidR="00707A4C" w:rsidRDefault="00707A4C" w:rsidP="005369DD">
      <w:pPr>
        <w:spacing w:after="0" w:line="240" w:lineRule="auto"/>
      </w:pPr>
      <w:r>
        <w:continuationSeparator/>
      </w:r>
    </w:p>
    <w:p w:rsidR="00707A4C" w:rsidRDefault="00707A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67B4"/>
    <w:multiLevelType w:val="hybridMultilevel"/>
    <w:tmpl w:val="06E03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F7"/>
    <w:rsid w:val="00032333"/>
    <w:rsid w:val="00034984"/>
    <w:rsid w:val="000B034A"/>
    <w:rsid w:val="001271F7"/>
    <w:rsid w:val="00133016"/>
    <w:rsid w:val="00136188"/>
    <w:rsid w:val="001528C7"/>
    <w:rsid w:val="001D68E7"/>
    <w:rsid w:val="001F3503"/>
    <w:rsid w:val="002140D5"/>
    <w:rsid w:val="00281808"/>
    <w:rsid w:val="00287D7F"/>
    <w:rsid w:val="002A1B33"/>
    <w:rsid w:val="00326BF4"/>
    <w:rsid w:val="00340CDF"/>
    <w:rsid w:val="003C0D67"/>
    <w:rsid w:val="003C6008"/>
    <w:rsid w:val="003F0199"/>
    <w:rsid w:val="003F145A"/>
    <w:rsid w:val="004066A8"/>
    <w:rsid w:val="0040679C"/>
    <w:rsid w:val="004131D1"/>
    <w:rsid w:val="004230A8"/>
    <w:rsid w:val="004C2C23"/>
    <w:rsid w:val="004D09D8"/>
    <w:rsid w:val="004D5452"/>
    <w:rsid w:val="004D6CE2"/>
    <w:rsid w:val="005100D9"/>
    <w:rsid w:val="00525904"/>
    <w:rsid w:val="005318F6"/>
    <w:rsid w:val="005369DD"/>
    <w:rsid w:val="00566FF5"/>
    <w:rsid w:val="005724A7"/>
    <w:rsid w:val="00586E79"/>
    <w:rsid w:val="005908B7"/>
    <w:rsid w:val="005C025A"/>
    <w:rsid w:val="00657BCF"/>
    <w:rsid w:val="00683849"/>
    <w:rsid w:val="0068573B"/>
    <w:rsid w:val="006A5684"/>
    <w:rsid w:val="006C1C65"/>
    <w:rsid w:val="006C506A"/>
    <w:rsid w:val="006C6D92"/>
    <w:rsid w:val="006E3EB5"/>
    <w:rsid w:val="006E4A78"/>
    <w:rsid w:val="006F4B95"/>
    <w:rsid w:val="00707A4C"/>
    <w:rsid w:val="007538D6"/>
    <w:rsid w:val="007716C4"/>
    <w:rsid w:val="00797FE4"/>
    <w:rsid w:val="007F28DB"/>
    <w:rsid w:val="00861BB9"/>
    <w:rsid w:val="008645DA"/>
    <w:rsid w:val="008849BD"/>
    <w:rsid w:val="008F5EDB"/>
    <w:rsid w:val="00914C17"/>
    <w:rsid w:val="009152D6"/>
    <w:rsid w:val="00996ECB"/>
    <w:rsid w:val="009A61AE"/>
    <w:rsid w:val="009C4E52"/>
    <w:rsid w:val="009D0977"/>
    <w:rsid w:val="009D5142"/>
    <w:rsid w:val="009E3B7A"/>
    <w:rsid w:val="009E44F6"/>
    <w:rsid w:val="00A95B72"/>
    <w:rsid w:val="00AC2EBF"/>
    <w:rsid w:val="00AD6207"/>
    <w:rsid w:val="00AE1692"/>
    <w:rsid w:val="00B14ABC"/>
    <w:rsid w:val="00B1665F"/>
    <w:rsid w:val="00B57E8E"/>
    <w:rsid w:val="00B77C52"/>
    <w:rsid w:val="00BA1A9D"/>
    <w:rsid w:val="00C042D5"/>
    <w:rsid w:val="00C427E1"/>
    <w:rsid w:val="00C52044"/>
    <w:rsid w:val="00C61F0C"/>
    <w:rsid w:val="00C851FC"/>
    <w:rsid w:val="00C864E4"/>
    <w:rsid w:val="00D10D16"/>
    <w:rsid w:val="00D70C93"/>
    <w:rsid w:val="00D71EDC"/>
    <w:rsid w:val="00D8719C"/>
    <w:rsid w:val="00DA02AC"/>
    <w:rsid w:val="00DF0E12"/>
    <w:rsid w:val="00E016AA"/>
    <w:rsid w:val="00E26350"/>
    <w:rsid w:val="00E44EE6"/>
    <w:rsid w:val="00E56F2C"/>
    <w:rsid w:val="00E839AA"/>
    <w:rsid w:val="00EA7AFF"/>
    <w:rsid w:val="00EB6E2F"/>
    <w:rsid w:val="00F015F4"/>
    <w:rsid w:val="00F01D3B"/>
    <w:rsid w:val="00F232E3"/>
    <w:rsid w:val="00F242EF"/>
    <w:rsid w:val="00F879DE"/>
    <w:rsid w:val="00FC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D0B7"/>
  <w15:docId w15:val="{0B7088C4-136D-4488-9414-24824F02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F7"/>
    <w:rPr>
      <w:rFonts w:ascii="Calibri" w:hAnsi="Calibri" w:cs="Times New Roman"/>
    </w:rPr>
  </w:style>
  <w:style w:type="paragraph" w:styleId="Heading1">
    <w:name w:val="heading 1"/>
    <w:basedOn w:val="Normal"/>
    <w:next w:val="Normal"/>
    <w:link w:val="Heading1Char"/>
    <w:qFormat/>
    <w:rsid w:val="001F3503"/>
    <w:pPr>
      <w:spacing w:after="0" w:line="240" w:lineRule="auto"/>
      <w:jc w:val="center"/>
      <w:outlineLvl w:val="0"/>
    </w:pPr>
    <w:rPr>
      <w:rFonts w:ascii="Times New Roman" w:hAnsi="Times New Roman"/>
      <w:sz w:val="28"/>
      <w:szCs w:val="28"/>
      <w:u w:val="single"/>
    </w:rPr>
  </w:style>
  <w:style w:type="paragraph" w:styleId="Heading2">
    <w:name w:val="heading 2"/>
    <w:basedOn w:val="Normal"/>
    <w:next w:val="Normal"/>
    <w:link w:val="Heading2Char"/>
    <w:uiPriority w:val="9"/>
    <w:unhideWhenUsed/>
    <w:qFormat/>
    <w:rsid w:val="00996ECB"/>
    <w:pPr>
      <w:spacing w:after="0" w:line="240" w:lineRule="auto"/>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034984"/>
    <w:pPr>
      <w:spacing w:after="0" w:line="240" w:lineRule="auto"/>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1F7"/>
    <w:rPr>
      <w:color w:val="0000FF"/>
      <w:u w:val="single"/>
    </w:rPr>
  </w:style>
  <w:style w:type="paragraph" w:styleId="BalloonText">
    <w:name w:val="Balloon Text"/>
    <w:basedOn w:val="Normal"/>
    <w:link w:val="BalloonTextChar"/>
    <w:uiPriority w:val="99"/>
    <w:semiHidden/>
    <w:unhideWhenUsed/>
    <w:rsid w:val="00127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1F7"/>
    <w:rPr>
      <w:rFonts w:ascii="Tahoma" w:hAnsi="Tahoma" w:cs="Tahoma"/>
      <w:sz w:val="16"/>
      <w:szCs w:val="16"/>
    </w:rPr>
  </w:style>
  <w:style w:type="paragraph" w:styleId="ListParagraph">
    <w:name w:val="List Paragraph"/>
    <w:basedOn w:val="Normal"/>
    <w:uiPriority w:val="34"/>
    <w:qFormat/>
    <w:rsid w:val="001271F7"/>
    <w:pPr>
      <w:ind w:left="720"/>
      <w:contextualSpacing/>
    </w:pPr>
  </w:style>
  <w:style w:type="character" w:customStyle="1" w:styleId="Heading1Char">
    <w:name w:val="Heading 1 Char"/>
    <w:basedOn w:val="DefaultParagraphFont"/>
    <w:link w:val="Heading1"/>
    <w:rsid w:val="001F3503"/>
    <w:rPr>
      <w:rFonts w:ascii="Times New Roman" w:hAnsi="Times New Roman" w:cs="Times New Roman"/>
      <w:sz w:val="28"/>
      <w:szCs w:val="28"/>
      <w:u w:val="single"/>
    </w:rPr>
  </w:style>
  <w:style w:type="paragraph" w:styleId="NormalWeb">
    <w:name w:val="Normal (Web)"/>
    <w:basedOn w:val="Normal"/>
    <w:rsid w:val="00F879D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36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DD"/>
    <w:rPr>
      <w:rFonts w:ascii="Calibri" w:hAnsi="Calibri" w:cs="Times New Roman"/>
    </w:rPr>
  </w:style>
  <w:style w:type="paragraph" w:styleId="Footer">
    <w:name w:val="footer"/>
    <w:basedOn w:val="Normal"/>
    <w:link w:val="FooterChar"/>
    <w:uiPriority w:val="99"/>
    <w:unhideWhenUsed/>
    <w:rsid w:val="00536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DD"/>
    <w:rPr>
      <w:rFonts w:ascii="Calibri" w:hAnsi="Calibri" w:cs="Times New Roman"/>
    </w:rPr>
  </w:style>
  <w:style w:type="character" w:styleId="FollowedHyperlink">
    <w:name w:val="FollowedHyperlink"/>
    <w:basedOn w:val="DefaultParagraphFont"/>
    <w:uiPriority w:val="99"/>
    <w:semiHidden/>
    <w:unhideWhenUsed/>
    <w:rsid w:val="00C042D5"/>
    <w:rPr>
      <w:color w:val="800080" w:themeColor="followedHyperlink"/>
      <w:u w:val="single"/>
    </w:rPr>
  </w:style>
  <w:style w:type="character" w:customStyle="1" w:styleId="Heading2Char">
    <w:name w:val="Heading 2 Char"/>
    <w:basedOn w:val="DefaultParagraphFont"/>
    <w:link w:val="Heading2"/>
    <w:uiPriority w:val="9"/>
    <w:rsid w:val="00996ECB"/>
    <w:rPr>
      <w:rFonts w:ascii="Times New Roman" w:hAnsi="Times New Roman" w:cs="Times New Roman"/>
      <w:b/>
      <w:sz w:val="24"/>
      <w:szCs w:val="24"/>
    </w:rPr>
  </w:style>
  <w:style w:type="paragraph" w:styleId="NoSpacing">
    <w:name w:val="No Spacing"/>
    <w:uiPriority w:val="1"/>
    <w:qFormat/>
    <w:rsid w:val="00C61F0C"/>
    <w:pPr>
      <w:spacing w:after="0" w:line="240" w:lineRule="auto"/>
    </w:pPr>
    <w:rPr>
      <w:rFonts w:ascii="Calibri" w:hAnsi="Calibri" w:cs="Times New Roman"/>
    </w:rPr>
  </w:style>
  <w:style w:type="character" w:customStyle="1" w:styleId="Heading3Char">
    <w:name w:val="Heading 3 Char"/>
    <w:basedOn w:val="DefaultParagraphFont"/>
    <w:link w:val="Heading3"/>
    <w:uiPriority w:val="9"/>
    <w:rsid w:val="00034984"/>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18575">
      <w:bodyDiv w:val="1"/>
      <w:marLeft w:val="0"/>
      <w:marRight w:val="0"/>
      <w:marTop w:val="0"/>
      <w:marBottom w:val="0"/>
      <w:divBdr>
        <w:top w:val="none" w:sz="0" w:space="0" w:color="auto"/>
        <w:left w:val="none" w:sz="0" w:space="0" w:color="auto"/>
        <w:bottom w:val="none" w:sz="0" w:space="0" w:color="auto"/>
        <w:right w:val="none" w:sz="0" w:space="0" w:color="auto"/>
      </w:divBdr>
    </w:div>
    <w:div w:id="659772563">
      <w:bodyDiv w:val="1"/>
      <w:marLeft w:val="0"/>
      <w:marRight w:val="0"/>
      <w:marTop w:val="0"/>
      <w:marBottom w:val="0"/>
      <w:divBdr>
        <w:top w:val="none" w:sz="0" w:space="0" w:color="auto"/>
        <w:left w:val="none" w:sz="0" w:space="0" w:color="auto"/>
        <w:bottom w:val="none" w:sz="0" w:space="0" w:color="auto"/>
        <w:right w:val="none" w:sz="0" w:space="0" w:color="auto"/>
      </w:divBdr>
    </w:div>
    <w:div w:id="813260946">
      <w:bodyDiv w:val="1"/>
      <w:marLeft w:val="0"/>
      <w:marRight w:val="0"/>
      <w:marTop w:val="0"/>
      <w:marBottom w:val="0"/>
      <w:divBdr>
        <w:top w:val="none" w:sz="0" w:space="0" w:color="auto"/>
        <w:left w:val="none" w:sz="0" w:space="0" w:color="auto"/>
        <w:bottom w:val="none" w:sz="0" w:space="0" w:color="auto"/>
        <w:right w:val="none" w:sz="0" w:space="0" w:color="auto"/>
      </w:divBdr>
    </w:div>
    <w:div w:id="1282951664">
      <w:bodyDiv w:val="1"/>
      <w:marLeft w:val="0"/>
      <w:marRight w:val="0"/>
      <w:marTop w:val="0"/>
      <w:marBottom w:val="0"/>
      <w:divBdr>
        <w:top w:val="none" w:sz="0" w:space="0" w:color="auto"/>
        <w:left w:val="none" w:sz="0" w:space="0" w:color="auto"/>
        <w:bottom w:val="none" w:sz="0" w:space="0" w:color="auto"/>
        <w:right w:val="none" w:sz="0" w:space="0" w:color="auto"/>
      </w:divBdr>
    </w:div>
    <w:div w:id="15948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te@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lis.virginia.gov/admincode/title8/agency20/chapter120/section1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sa=t&amp;rct=j&amp;q=&amp;esrc=s&amp;frm=1&amp;source=web&amp;cd=1&amp;cad=rja&amp;uact=8&amp;ved=0CB4QFjAA&amp;url=http%3A%2F%2Fcte.ed.gov%2Fdocs%2Fperkins_iv.pdf&amp;ei=xUatVIGVBtXesATRo4DoBw&amp;usg=AFQjCNGkuMekRj-HFB9PlymWrdpJN9uFFg&amp;sig2=3Vv6XcwxgLID8gkyvbPx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ew.officeapps.live.com/op/view.aspx?src=https%3A%2F%2Fwww.doe.virginia.gov%2Fhome%2Fshowpublisheddocument%2F19766%2F638042929734330000&amp;wdOrigin=BROWSELINK"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doe.virginia.gov%2Fhome%2Fshowpublisheddocument%2F32196%2F638047175351800000&amp;wdOrigin=BROWSE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A3508-196B-4440-AC5A-0DD88107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lkr19954</dc:creator>
  <cp:lastModifiedBy>Hatch, William (DOE)</cp:lastModifiedBy>
  <cp:revision>3</cp:revision>
  <cp:lastPrinted>2015-01-09T21:30:00Z</cp:lastPrinted>
  <dcterms:created xsi:type="dcterms:W3CDTF">2023-07-21T14:00:00Z</dcterms:created>
  <dcterms:modified xsi:type="dcterms:W3CDTF">2023-07-21T14:07:00Z</dcterms:modified>
</cp:coreProperties>
</file>