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6FB75E50" w:rsidR="00DF5F87" w:rsidRPr="00CC0FF1" w:rsidRDefault="00065A28" w:rsidP="00CC0FF1">
      <w:pPr>
        <w:jc w:val="center"/>
        <w:rPr>
          <w:b/>
          <w:sz w:val="28"/>
          <w:szCs w:val="28"/>
        </w:rPr>
      </w:pPr>
      <w:r w:rsidRPr="00CC0FF1">
        <w:rPr>
          <w:b/>
          <w:sz w:val="28"/>
          <w:szCs w:val="28"/>
        </w:rPr>
        <w:t xml:space="preserve">Part B Special Education State Performance Plan (SPP) and </w:t>
      </w:r>
      <w:r w:rsidR="00211114" w:rsidRPr="00CC0FF1">
        <w:rPr>
          <w:b/>
          <w:sz w:val="28"/>
          <w:szCs w:val="28"/>
        </w:rPr>
        <w:br/>
      </w:r>
      <w:r w:rsidRPr="00CC0FF1">
        <w:rPr>
          <w:b/>
          <w:sz w:val="28"/>
          <w:szCs w:val="28"/>
        </w:rPr>
        <w:t>Annual Performance Report (APR)</w:t>
      </w:r>
      <w:r w:rsidR="00FA5652" w:rsidRPr="00CC0FF1">
        <w:rPr>
          <w:b/>
          <w:sz w:val="28"/>
          <w:szCs w:val="28"/>
        </w:rPr>
        <w:t xml:space="preserve"> </w:t>
      </w:r>
      <w:r w:rsidR="00EF34B1" w:rsidRPr="00CC0FF1">
        <w:rPr>
          <w:b/>
          <w:sz w:val="28"/>
          <w:szCs w:val="28"/>
        </w:rPr>
        <w:br/>
      </w:r>
      <w:r w:rsidRPr="00CC0FF1">
        <w:rPr>
          <w:b/>
          <w:sz w:val="28"/>
          <w:szCs w:val="28"/>
        </w:rPr>
        <w:t>Reporting Period: July 1</w:t>
      </w:r>
      <w:r w:rsidR="00EF34B1" w:rsidRPr="00CC0FF1">
        <w:rPr>
          <w:b/>
          <w:sz w:val="28"/>
          <w:szCs w:val="28"/>
        </w:rPr>
        <w:t>-</w:t>
      </w:r>
      <w:r w:rsidRPr="00CC0FF1">
        <w:rPr>
          <w:b/>
          <w:sz w:val="28"/>
          <w:szCs w:val="28"/>
        </w:rPr>
        <w:t>June 30</w:t>
      </w:r>
    </w:p>
    <w:p w14:paraId="68AA20CA" w14:textId="77777777" w:rsidR="00CC0FF1" w:rsidRPr="00CC0FF1" w:rsidRDefault="00CC0FF1" w:rsidP="00CC0FF1"/>
    <w:p w14:paraId="293BA1B5" w14:textId="77777777" w:rsidR="00CC0FF1" w:rsidRDefault="00CC0FF1" w:rsidP="00CC0FF1">
      <w:pPr>
        <w:pStyle w:val="Heading1"/>
      </w:pPr>
      <w:r>
        <w:t>Instructions for Reporting Indicator 11</w:t>
      </w:r>
    </w:p>
    <w:p w14:paraId="1431BB0B" w14:textId="77777777" w:rsidR="00DF0583" w:rsidRPr="00590B95" w:rsidRDefault="00DF0583" w:rsidP="000E3C76"/>
    <w:p w14:paraId="00000005" w14:textId="516834C3" w:rsidR="00DF5F87" w:rsidRDefault="00682D9F">
      <w:pPr>
        <w:jc w:val="center"/>
      </w:pPr>
      <w:r>
        <w:t>Revised March 2022</w:t>
      </w:r>
    </w:p>
    <w:p w14:paraId="0000000A" w14:textId="17F7B2E6" w:rsidR="00DF5F87" w:rsidRDefault="00DF5F87" w:rsidP="000E3C76">
      <w:pPr>
        <w:rPr>
          <w:b/>
          <w:sz w:val="22"/>
          <w:szCs w:val="22"/>
        </w:rPr>
      </w:pPr>
    </w:p>
    <w:p w14:paraId="3049F2F2" w14:textId="1AB1CBB9" w:rsidR="00E025F7" w:rsidRPr="000E3C76" w:rsidRDefault="00E025F7" w:rsidP="00E025F7">
      <w:pPr>
        <w:pBdr>
          <w:top w:val="single" w:sz="4" w:space="1" w:color="auto"/>
          <w:left w:val="single" w:sz="4" w:space="3" w:color="auto"/>
          <w:bottom w:val="single" w:sz="4" w:space="1" w:color="auto"/>
          <w:right w:val="single" w:sz="4" w:space="4" w:color="auto"/>
        </w:pBdr>
        <w:tabs>
          <w:tab w:val="left" w:pos="9540"/>
        </w:tabs>
        <w:ind w:left="90" w:right="108"/>
        <w:rPr>
          <w:b/>
        </w:rPr>
      </w:pPr>
      <w:r>
        <w:rPr>
          <w:b/>
        </w:rPr>
        <w:t>Note</w:t>
      </w:r>
      <w:r w:rsidRPr="000E3C76">
        <w:rPr>
          <w:b/>
        </w:rPr>
        <w:t>: It is acceptable to conduct an electronic student file review for this data reporting period (</w:t>
      </w:r>
      <w:r w:rsidR="00103464">
        <w:rPr>
          <w:b/>
        </w:rPr>
        <w:t>July1-June 30</w:t>
      </w:r>
      <w:r w:rsidRPr="000E3C76">
        <w:rPr>
          <w:b/>
        </w:rPr>
        <w:t>). The director of special education</w:t>
      </w:r>
      <w:r>
        <w:rPr>
          <w:b/>
        </w:rPr>
        <w:t>’s</w:t>
      </w:r>
      <w:r w:rsidRPr="000E3C76">
        <w:rPr>
          <w:b/>
        </w:rPr>
        <w:t xml:space="preserve"> and superintendent’s electronic signatures in the application will also serve as assurance that the division has secured all required signatures on documents under review for this indicator.</w:t>
      </w:r>
    </w:p>
    <w:p w14:paraId="491E73B6" w14:textId="16A09364" w:rsidR="00E025F7" w:rsidRDefault="00E025F7" w:rsidP="000E3C76">
      <w:pPr>
        <w:rPr>
          <w:b/>
          <w:sz w:val="22"/>
          <w:szCs w:val="22"/>
        </w:rPr>
      </w:pPr>
    </w:p>
    <w:p w14:paraId="0000000B" w14:textId="3E744B92" w:rsidR="00DF5F87" w:rsidRDefault="00065A28">
      <w:r>
        <w:t xml:space="preserve">Pursuant to </w:t>
      </w:r>
      <w:r w:rsidR="00EF34B1">
        <w:t>S</w:t>
      </w:r>
      <w:r>
        <w:t xml:space="preserve">ections 616(d) and 642 of the </w:t>
      </w:r>
      <w:r>
        <w:rPr>
          <w:i/>
        </w:rPr>
        <w:t>Individuals with Disabilities Education Act</w:t>
      </w:r>
      <w:r>
        <w:t xml:space="preserve"> (IDEA), the U</w:t>
      </w:r>
      <w:r w:rsidR="00EF34B1">
        <w:t xml:space="preserve">nited </w:t>
      </w:r>
      <w:r>
        <w:t>S</w:t>
      </w:r>
      <w:r w:rsidR="00EF34B1">
        <w:t>tates</w:t>
      </w:r>
      <w:r>
        <w:t xml:space="preserve"> Department of Education (USED) requires each </w:t>
      </w:r>
      <w:r w:rsidR="00EF34B1">
        <w:t>s</w:t>
      </w:r>
      <w:r>
        <w:t>tate to collect Part B Special Education Annual Performance Report (APR) data. The Virginia Department of Education (VDOE) is required to report to the USED all identified noncompliance and verification of c</w:t>
      </w:r>
      <w:bookmarkStart w:id="0" w:name="_GoBack"/>
      <w:bookmarkEnd w:id="0"/>
      <w:r>
        <w:t xml:space="preserve">orrections each year in the State’s APR for Special Education. Data submitted by school divisions to the VDOE is used to develop their Report to the Public and Local Determination Accountability Matrix. </w:t>
      </w:r>
    </w:p>
    <w:p w14:paraId="0000000C" w14:textId="77777777" w:rsidR="00DF5F87" w:rsidRDefault="00DF5F87"/>
    <w:p w14:paraId="0000000D" w14:textId="0E840139" w:rsidR="00DF5F87" w:rsidRDefault="00065A28">
      <w:pPr>
        <w:rPr>
          <w:color w:val="FF0000"/>
        </w:rPr>
      </w:pPr>
      <w:r>
        <w:t>The Single Sign-on for Web Systems (SSWS) Special Education Indicators Application was designed to streamline the submission process and reduce the paperwork burden of school division staff. This application includes a system for school division personnel to review, verify, and approve data submitted to the VDOE. Indicator 11 must be submitted through the SSWS Application by August 15. If this date falls on a weekend, it is due the following Monday.</w:t>
      </w:r>
      <w:r>
        <w:rPr>
          <w:color w:val="FF0000"/>
        </w:rPr>
        <w:t xml:space="preserve"> </w:t>
      </w:r>
    </w:p>
    <w:p w14:paraId="61FEDED3" w14:textId="2943232B" w:rsidR="00EF34B1" w:rsidRPr="00590B95" w:rsidRDefault="00EF34B1" w:rsidP="000E3C76"/>
    <w:p w14:paraId="00000010" w14:textId="77777777" w:rsidR="00DF5F87" w:rsidRPr="000E3C76" w:rsidRDefault="00065A28">
      <w:pPr>
        <w:pBdr>
          <w:top w:val="nil"/>
          <w:left w:val="nil"/>
          <w:bottom w:val="nil"/>
          <w:right w:val="nil"/>
          <w:between w:val="nil"/>
        </w:pBdr>
        <w:rPr>
          <w:color w:val="000000"/>
        </w:rPr>
      </w:pPr>
      <w:r w:rsidRPr="000E3C76">
        <w:rPr>
          <w:color w:val="000000"/>
        </w:rPr>
        <w:t>Percent of children for whom referral for initial evaluation was received, who were evaluated and eligibility determined within 65 business days.</w:t>
      </w:r>
    </w:p>
    <w:p w14:paraId="00000011" w14:textId="77777777" w:rsidR="00DF5F87" w:rsidRPr="000E3C76" w:rsidRDefault="00DF5F87">
      <w:pPr>
        <w:pBdr>
          <w:top w:val="nil"/>
          <w:left w:val="nil"/>
          <w:bottom w:val="nil"/>
          <w:right w:val="nil"/>
          <w:between w:val="nil"/>
        </w:pBdr>
        <w:rPr>
          <w:color w:val="000000"/>
        </w:rPr>
      </w:pPr>
    </w:p>
    <w:p w14:paraId="00000012" w14:textId="792FB1BC" w:rsidR="00DF5F87" w:rsidRPr="000E3C76" w:rsidRDefault="00065A28">
      <w:pPr>
        <w:pBdr>
          <w:top w:val="nil"/>
          <w:left w:val="nil"/>
          <w:bottom w:val="nil"/>
          <w:right w:val="nil"/>
          <w:between w:val="nil"/>
        </w:pBdr>
        <w:rPr>
          <w:color w:val="000000"/>
        </w:rPr>
      </w:pPr>
      <w:r w:rsidRPr="000E3C76">
        <w:rPr>
          <w:color w:val="000000"/>
        </w:rPr>
        <w:t>All data must be entered through the Single Sign-on for Web Systems (SSWS</w:t>
      </w:r>
      <w:r w:rsidRPr="000E3C76">
        <w:rPr>
          <w:b/>
          <w:color w:val="000000"/>
        </w:rPr>
        <w:t xml:space="preserve">) </w:t>
      </w:r>
      <w:r w:rsidRPr="000E3C76">
        <w:rPr>
          <w:color w:val="000000"/>
        </w:rPr>
        <w:t>application “</w:t>
      </w:r>
      <w:r w:rsidRPr="000E3C76">
        <w:rPr>
          <w:b/>
          <w:color w:val="000000"/>
        </w:rPr>
        <w:t>Special Education Indicators</w:t>
      </w:r>
      <w:r w:rsidRPr="000E3C76">
        <w:rPr>
          <w:color w:val="000000"/>
        </w:rPr>
        <w:t>.” Request access to the application from your local SSWS administrator.</w:t>
      </w:r>
    </w:p>
    <w:p w14:paraId="00000013" w14:textId="77777777" w:rsidR="00DF5F87" w:rsidRPr="000E3C76" w:rsidRDefault="00065A28" w:rsidP="000E3C76">
      <w:pPr>
        <w:numPr>
          <w:ilvl w:val="0"/>
          <w:numId w:val="6"/>
        </w:numPr>
        <w:ind w:left="720"/>
      </w:pPr>
      <w:r w:rsidRPr="000E3C76">
        <w:t xml:space="preserve">Report only on initial eligibility determinations, including children transitioning from Part C </w:t>
      </w:r>
      <w:proofErr w:type="gramStart"/>
      <w:r w:rsidRPr="000E3C76">
        <w:t>to</w:t>
      </w:r>
      <w:proofErr w:type="gramEnd"/>
      <w:r w:rsidRPr="000E3C76">
        <w:t xml:space="preserve"> Part B. </w:t>
      </w:r>
    </w:p>
    <w:p w14:paraId="00000014" w14:textId="35C264D2" w:rsidR="00DF5F87" w:rsidRPr="000E3C76" w:rsidRDefault="00065A28" w:rsidP="000E3C76">
      <w:pPr>
        <w:numPr>
          <w:ilvl w:val="0"/>
          <w:numId w:val="6"/>
        </w:numPr>
        <w:ind w:left="720"/>
      </w:pPr>
      <w:r w:rsidRPr="000E3C76">
        <w:t>The 65 business day timeline starts from the date of the receipt of the referral by the special education administrator or designee [8 VAC 20-80-54].</w:t>
      </w:r>
    </w:p>
    <w:p w14:paraId="00000015" w14:textId="61D2286B" w:rsidR="00DF5F87" w:rsidRPr="000E3C76" w:rsidRDefault="00065A28" w:rsidP="000E3C76">
      <w:pPr>
        <w:numPr>
          <w:ilvl w:val="0"/>
          <w:numId w:val="6"/>
        </w:numPr>
        <w:ind w:left="720"/>
      </w:pPr>
      <w:r w:rsidRPr="000E3C76">
        <w:t>A business day means Monday through Friday, 12 months a year, exclusive of federal and state holidays (unless holidays are specifically included in the designation of business days) [8 VAC 20-80-66 B 4 a].</w:t>
      </w:r>
    </w:p>
    <w:p w14:paraId="00000017" w14:textId="77777777" w:rsidR="00DF5F87" w:rsidRPr="000E3C76" w:rsidRDefault="00DF5F87"/>
    <w:p w14:paraId="00000018" w14:textId="465DEE03" w:rsidR="00DF5F87" w:rsidRDefault="00065A28">
      <w:pPr>
        <w:pStyle w:val="Heading2"/>
      </w:pPr>
      <w:r>
        <w:t>Data Entry</w:t>
      </w:r>
    </w:p>
    <w:p w14:paraId="1C80CFE5" w14:textId="77777777" w:rsidR="00EF34B1" w:rsidRPr="00EF34B1" w:rsidRDefault="00EF34B1" w:rsidP="000E3C76"/>
    <w:p w14:paraId="33F5C108" w14:textId="10E5DE4D" w:rsidR="00B473A3" w:rsidRPr="000E41EB" w:rsidRDefault="00065A28">
      <w:pPr>
        <w:pBdr>
          <w:top w:val="nil"/>
          <w:left w:val="nil"/>
          <w:bottom w:val="nil"/>
          <w:right w:val="nil"/>
          <w:between w:val="nil"/>
        </w:pBdr>
        <w:rPr>
          <w:b/>
          <w:color w:val="000000"/>
        </w:rPr>
      </w:pPr>
      <w:r w:rsidRPr="000E41EB">
        <w:rPr>
          <w:b/>
          <w:color w:val="000000"/>
        </w:rPr>
        <w:t>Section 1</w:t>
      </w:r>
      <w:r w:rsidR="00EF34B1" w:rsidRPr="000E41EB">
        <w:rPr>
          <w:b/>
          <w:color w:val="000000"/>
        </w:rPr>
        <w:t>:</w:t>
      </w:r>
      <w:r w:rsidRPr="000E41EB">
        <w:rPr>
          <w:b/>
          <w:color w:val="000000"/>
        </w:rPr>
        <w:t xml:space="preserve"> Report on evaluations and eligibility determinations completed within 65 business days</w:t>
      </w:r>
    </w:p>
    <w:p w14:paraId="00EC1C7C" w14:textId="77777777" w:rsidR="00B473A3" w:rsidRPr="000E3C76" w:rsidRDefault="00B473A3">
      <w:pPr>
        <w:pBdr>
          <w:top w:val="nil"/>
          <w:left w:val="nil"/>
          <w:bottom w:val="nil"/>
          <w:right w:val="nil"/>
          <w:between w:val="nil"/>
        </w:pBdr>
        <w:rPr>
          <w:color w:val="000000"/>
        </w:rPr>
      </w:pPr>
    </w:p>
    <w:p w14:paraId="0000001A" w14:textId="143DD26A" w:rsidR="00DF5F87" w:rsidRPr="00C00336" w:rsidRDefault="00C00336" w:rsidP="00C00336">
      <w:pPr>
        <w:pBdr>
          <w:top w:val="nil"/>
          <w:left w:val="nil"/>
          <w:bottom w:val="nil"/>
          <w:right w:val="nil"/>
          <w:between w:val="nil"/>
        </w:pBdr>
        <w:rPr>
          <w:color w:val="000000"/>
        </w:rPr>
      </w:pPr>
      <w:r w:rsidRPr="00C00336">
        <w:rPr>
          <w:b/>
          <w:color w:val="000000"/>
        </w:rPr>
        <w:t>A.</w:t>
      </w:r>
      <w:r w:rsidR="00213634">
        <w:rPr>
          <w:color w:val="000000"/>
        </w:rPr>
        <w:t xml:space="preserve"> </w:t>
      </w:r>
      <w:r w:rsidR="00065A28" w:rsidRPr="00C00336">
        <w:rPr>
          <w:color w:val="000000"/>
        </w:rPr>
        <w:t xml:space="preserve">Enter the number of all children for whom referral for evaluation was received </w:t>
      </w:r>
      <w:r w:rsidR="00065A28" w:rsidRPr="000E3C76">
        <w:t>(including preschool age children)</w:t>
      </w:r>
      <w:r w:rsidR="00065A28" w:rsidRPr="00C00336">
        <w:rPr>
          <w:color w:val="000000"/>
        </w:rPr>
        <w:t>.</w:t>
      </w:r>
    </w:p>
    <w:p w14:paraId="0000001B" w14:textId="3AA464A7" w:rsidR="00DF5F87" w:rsidRPr="000E3C76" w:rsidRDefault="00065A28" w:rsidP="00213634">
      <w:pPr>
        <w:pStyle w:val="ListParagraph"/>
        <w:numPr>
          <w:ilvl w:val="0"/>
          <w:numId w:val="10"/>
        </w:numPr>
        <w:pBdr>
          <w:top w:val="nil"/>
          <w:left w:val="nil"/>
          <w:bottom w:val="nil"/>
          <w:right w:val="nil"/>
          <w:between w:val="nil"/>
        </w:pBdr>
        <w:ind w:left="720"/>
      </w:pPr>
      <w:r w:rsidRPr="000E3C76">
        <w:t>Include children for whom eligibility was determined or due to be determined on or before June 30</w:t>
      </w:r>
      <w:r w:rsidR="00EF34B1">
        <w:t>.</w:t>
      </w:r>
    </w:p>
    <w:p w14:paraId="0000001C" w14:textId="349442FF" w:rsidR="00DF5F87" w:rsidRDefault="00213634" w:rsidP="00213634">
      <w:pPr>
        <w:pBdr>
          <w:top w:val="nil"/>
          <w:left w:val="nil"/>
          <w:bottom w:val="nil"/>
          <w:right w:val="nil"/>
          <w:between w:val="nil"/>
        </w:pBdr>
        <w:rPr>
          <w:color w:val="000000"/>
        </w:rPr>
      </w:pPr>
      <w:r w:rsidRPr="00213634">
        <w:rPr>
          <w:b/>
          <w:color w:val="000000"/>
        </w:rPr>
        <w:lastRenderedPageBreak/>
        <w:t>B.</w:t>
      </w:r>
      <w:r>
        <w:rPr>
          <w:color w:val="000000"/>
        </w:rPr>
        <w:t xml:space="preserve"> </w:t>
      </w:r>
      <w:r w:rsidR="00065A28" w:rsidRPr="000E3C76">
        <w:rPr>
          <w:color w:val="000000"/>
        </w:rPr>
        <w:t xml:space="preserve">Enter the number of children for whom eligibility was not determined due to the withdrawal from the school </w:t>
      </w:r>
      <w:r w:rsidR="00065A28" w:rsidRPr="000E3C76">
        <w:t>division</w:t>
      </w:r>
      <w:r w:rsidR="00EF34B1">
        <w:rPr>
          <w:color w:val="000000"/>
        </w:rPr>
        <w:t xml:space="preserve"> (</w:t>
      </w:r>
      <w:r w:rsidR="00065A28" w:rsidRPr="000E3C76">
        <w:t>e</w:t>
      </w:r>
      <w:r w:rsidR="00EF34B1">
        <w:t>.g</w:t>
      </w:r>
      <w:r w:rsidR="00065A28" w:rsidRPr="000E3C76">
        <w:rPr>
          <w:color w:val="000000"/>
        </w:rPr>
        <w:t>., child transferred to another school division, child dropped out of school, or parent rescinded his/her consent</w:t>
      </w:r>
      <w:r w:rsidR="00EF34B1">
        <w:rPr>
          <w:color w:val="000000"/>
        </w:rPr>
        <w:t>)</w:t>
      </w:r>
      <w:r w:rsidR="00065A28" w:rsidRPr="000E3C76">
        <w:rPr>
          <w:color w:val="000000"/>
        </w:rPr>
        <w:t xml:space="preserve">. This number is not included in the calculation. </w:t>
      </w:r>
    </w:p>
    <w:p w14:paraId="36DAF9C5" w14:textId="77777777" w:rsidR="00213634" w:rsidRPr="00213634" w:rsidRDefault="00213634" w:rsidP="00213634">
      <w:pPr>
        <w:pBdr>
          <w:top w:val="nil"/>
          <w:left w:val="nil"/>
          <w:bottom w:val="nil"/>
          <w:right w:val="nil"/>
          <w:between w:val="nil"/>
        </w:pBdr>
        <w:rPr>
          <w:sz w:val="16"/>
          <w:szCs w:val="16"/>
        </w:rPr>
      </w:pPr>
    </w:p>
    <w:p w14:paraId="0000001E" w14:textId="09ACB8D6" w:rsidR="00DF5F87" w:rsidRDefault="00213634" w:rsidP="00213634">
      <w:pPr>
        <w:pBdr>
          <w:top w:val="nil"/>
          <w:left w:val="nil"/>
          <w:bottom w:val="nil"/>
          <w:right w:val="nil"/>
          <w:between w:val="nil"/>
        </w:pBdr>
        <w:rPr>
          <w:color w:val="000000"/>
        </w:rPr>
      </w:pPr>
      <w:r w:rsidRPr="00213634">
        <w:rPr>
          <w:b/>
          <w:color w:val="000000"/>
        </w:rPr>
        <w:t>C.</w:t>
      </w:r>
      <w:r>
        <w:rPr>
          <w:color w:val="000000"/>
        </w:rPr>
        <w:t xml:space="preserve"> </w:t>
      </w:r>
      <w:r w:rsidR="00065A28" w:rsidRPr="000E3C76">
        <w:rPr>
          <w:color w:val="000000"/>
        </w:rPr>
        <w:t xml:space="preserve">Enter the number of </w:t>
      </w:r>
      <w:r w:rsidR="00065A28" w:rsidRPr="000E3C76">
        <w:t xml:space="preserve">eligibility determinations </w:t>
      </w:r>
      <w:r w:rsidR="00065A28" w:rsidRPr="000E3C76">
        <w:rPr>
          <w:color w:val="000000"/>
        </w:rPr>
        <w:t>that did not meet timeline because parent repeatedly failed or refused to make the child available. This number is not included in the calculation.</w:t>
      </w:r>
    </w:p>
    <w:p w14:paraId="423B9B0C" w14:textId="77777777" w:rsidR="00213634" w:rsidRPr="00213634" w:rsidRDefault="00213634" w:rsidP="00213634">
      <w:pPr>
        <w:pBdr>
          <w:top w:val="nil"/>
          <w:left w:val="nil"/>
          <w:bottom w:val="nil"/>
          <w:right w:val="nil"/>
          <w:between w:val="nil"/>
        </w:pBdr>
        <w:rPr>
          <w:color w:val="000000"/>
          <w:sz w:val="16"/>
          <w:szCs w:val="16"/>
        </w:rPr>
      </w:pPr>
    </w:p>
    <w:p w14:paraId="0000001F" w14:textId="4194A41A" w:rsidR="00DF5F87" w:rsidRDefault="00213634" w:rsidP="00213634">
      <w:pPr>
        <w:pBdr>
          <w:top w:val="nil"/>
          <w:left w:val="nil"/>
          <w:bottom w:val="nil"/>
          <w:right w:val="nil"/>
          <w:between w:val="nil"/>
        </w:pBdr>
        <w:rPr>
          <w:color w:val="000000"/>
        </w:rPr>
      </w:pPr>
      <w:r w:rsidRPr="00213634">
        <w:rPr>
          <w:b/>
          <w:color w:val="000000"/>
        </w:rPr>
        <w:t>D.</w:t>
      </w:r>
      <w:r>
        <w:rPr>
          <w:color w:val="000000"/>
        </w:rPr>
        <w:t xml:space="preserve"> </w:t>
      </w:r>
      <w:r w:rsidR="00065A28" w:rsidRPr="000E3C76">
        <w:rPr>
          <w:color w:val="000000"/>
        </w:rPr>
        <w:t xml:space="preserve">Enter the number of </w:t>
      </w:r>
      <w:r w:rsidR="00065A28" w:rsidRPr="000E3C76">
        <w:t xml:space="preserve">eligibility determinations </w:t>
      </w:r>
      <w:r w:rsidR="00065A28" w:rsidRPr="000E3C76">
        <w:rPr>
          <w:color w:val="000000"/>
        </w:rPr>
        <w:t xml:space="preserve">that did not meet the timeline because the </w:t>
      </w:r>
      <w:r w:rsidR="00065A28" w:rsidRPr="000E3C76">
        <w:t xml:space="preserve">child </w:t>
      </w:r>
      <w:r w:rsidR="00065A28" w:rsidRPr="000E3C76">
        <w:rPr>
          <w:color w:val="000000"/>
        </w:rPr>
        <w:t>enrolled after the 65 business day time</w:t>
      </w:r>
      <w:r w:rsidR="00065A28" w:rsidRPr="000E3C76">
        <w:t>line</w:t>
      </w:r>
      <w:r w:rsidR="00065A28" w:rsidRPr="000E3C76">
        <w:rPr>
          <w:color w:val="000000"/>
        </w:rPr>
        <w:t xml:space="preserve"> had started and 1</w:t>
      </w:r>
      <w:r w:rsidR="00EF34B1">
        <w:rPr>
          <w:color w:val="000000"/>
        </w:rPr>
        <w:t>)</w:t>
      </w:r>
      <w:r w:rsidR="00065A28" w:rsidRPr="000E3C76">
        <w:rPr>
          <w:color w:val="000000"/>
        </w:rPr>
        <w:t xml:space="preserve"> prior to an</w:t>
      </w:r>
      <w:r w:rsidR="00065A28" w:rsidRPr="000E3C76">
        <w:t xml:space="preserve"> </w:t>
      </w:r>
      <w:r w:rsidR="00065A28" w:rsidRPr="000E3C76">
        <w:rPr>
          <w:color w:val="000000"/>
        </w:rPr>
        <w:t>eligibility determination being made by the previous public agency</w:t>
      </w:r>
      <w:r w:rsidR="00EF34B1">
        <w:rPr>
          <w:color w:val="000000"/>
        </w:rPr>
        <w:t>,</w:t>
      </w:r>
      <w:r w:rsidR="00065A28" w:rsidRPr="000E3C76">
        <w:rPr>
          <w:color w:val="000000"/>
        </w:rPr>
        <w:t xml:space="preserve"> 2</w:t>
      </w:r>
      <w:r w:rsidR="00EF34B1">
        <w:rPr>
          <w:color w:val="000000"/>
        </w:rPr>
        <w:t>)</w:t>
      </w:r>
      <w:r w:rsidR="00065A28" w:rsidRPr="000E3C76">
        <w:rPr>
          <w:color w:val="000000"/>
        </w:rPr>
        <w:t xml:space="preserve"> the receiving </w:t>
      </w:r>
      <w:r w:rsidR="00EF34B1">
        <w:rPr>
          <w:color w:val="000000"/>
        </w:rPr>
        <w:t>local educational agency (</w:t>
      </w:r>
      <w:r w:rsidR="00065A28" w:rsidRPr="000E3C76">
        <w:rPr>
          <w:color w:val="000000"/>
        </w:rPr>
        <w:t>LEA</w:t>
      </w:r>
      <w:r w:rsidR="00EF34B1">
        <w:rPr>
          <w:color w:val="000000"/>
        </w:rPr>
        <w:t>)</w:t>
      </w:r>
      <w:r w:rsidR="00065A28" w:rsidRPr="000E3C76">
        <w:rPr>
          <w:color w:val="000000"/>
        </w:rPr>
        <w:t xml:space="preserve"> made sufficient progress to complete evaluation, and 3</w:t>
      </w:r>
      <w:r w:rsidR="00EF34B1">
        <w:rPr>
          <w:color w:val="000000"/>
        </w:rPr>
        <w:t>)</w:t>
      </w:r>
      <w:r w:rsidR="00065A28" w:rsidRPr="000E3C76">
        <w:rPr>
          <w:color w:val="000000"/>
        </w:rPr>
        <w:t xml:space="preserve"> the parent and LEA agreed to a specific time to complete the evaluation (all conditions must be met). This number is not included in the calculation.</w:t>
      </w:r>
    </w:p>
    <w:p w14:paraId="40835703" w14:textId="77777777" w:rsidR="00213634" w:rsidRPr="00213634" w:rsidRDefault="00213634" w:rsidP="00213634">
      <w:pPr>
        <w:pBdr>
          <w:top w:val="nil"/>
          <w:left w:val="nil"/>
          <w:bottom w:val="nil"/>
          <w:right w:val="nil"/>
          <w:between w:val="nil"/>
        </w:pBdr>
        <w:ind w:left="720"/>
        <w:rPr>
          <w:color w:val="000000"/>
          <w:sz w:val="16"/>
          <w:szCs w:val="16"/>
        </w:rPr>
      </w:pPr>
    </w:p>
    <w:p w14:paraId="00000020" w14:textId="1462B126" w:rsidR="00DF5F87" w:rsidRDefault="00213634" w:rsidP="00213634">
      <w:pPr>
        <w:pBdr>
          <w:top w:val="nil"/>
          <w:left w:val="nil"/>
          <w:bottom w:val="nil"/>
          <w:right w:val="nil"/>
          <w:between w:val="nil"/>
        </w:pBdr>
        <w:rPr>
          <w:color w:val="000000"/>
        </w:rPr>
      </w:pPr>
      <w:r w:rsidRPr="00213634">
        <w:rPr>
          <w:b/>
          <w:color w:val="000000"/>
        </w:rPr>
        <w:t>E.</w:t>
      </w:r>
      <w:r>
        <w:rPr>
          <w:color w:val="000000"/>
        </w:rPr>
        <w:t xml:space="preserve"> </w:t>
      </w:r>
      <w:r w:rsidR="00065A28" w:rsidRPr="000E3C76">
        <w:rPr>
          <w:color w:val="000000"/>
        </w:rPr>
        <w:t xml:space="preserve">Enter the number of </w:t>
      </w:r>
      <w:r w:rsidR="00065A28" w:rsidRPr="000E3C76">
        <w:t xml:space="preserve">eligibility determinations </w:t>
      </w:r>
      <w:r w:rsidR="00065A28" w:rsidRPr="000E3C76">
        <w:rPr>
          <w:color w:val="000000"/>
        </w:rPr>
        <w:t xml:space="preserve">that did not meet the timeline because the parent and eligibility group agreed in writing to extend the 65 day timeline to obtain additional data that cannot be obtained within the 65 business days. This number is not included in the calculation. </w:t>
      </w:r>
    </w:p>
    <w:p w14:paraId="7208CBB7" w14:textId="77777777" w:rsidR="00213634" w:rsidRPr="00213634" w:rsidRDefault="00213634" w:rsidP="00213634">
      <w:pPr>
        <w:pBdr>
          <w:top w:val="nil"/>
          <w:left w:val="nil"/>
          <w:bottom w:val="nil"/>
          <w:right w:val="nil"/>
          <w:between w:val="nil"/>
        </w:pBdr>
        <w:ind w:left="720"/>
        <w:rPr>
          <w:color w:val="000000"/>
          <w:sz w:val="16"/>
          <w:szCs w:val="16"/>
        </w:rPr>
      </w:pPr>
    </w:p>
    <w:p w14:paraId="00000021" w14:textId="31E50737" w:rsidR="00DF5F87" w:rsidRPr="000E3C76" w:rsidRDefault="00065A28" w:rsidP="00213634">
      <w:pPr>
        <w:pBdr>
          <w:top w:val="nil"/>
          <w:left w:val="nil"/>
          <w:bottom w:val="nil"/>
          <w:right w:val="nil"/>
          <w:between w:val="nil"/>
        </w:pBdr>
        <w:ind w:left="180"/>
        <w:rPr>
          <w:color w:val="000000"/>
        </w:rPr>
      </w:pPr>
      <w:r w:rsidRPr="000E3C76">
        <w:rPr>
          <w:color w:val="000000"/>
        </w:rPr>
        <w:t>Notes:</w:t>
      </w:r>
    </w:p>
    <w:p w14:paraId="00000022" w14:textId="4D11EF40" w:rsidR="00DF5F87" w:rsidRPr="000E3C76" w:rsidRDefault="00065A28" w:rsidP="00213634">
      <w:pPr>
        <w:numPr>
          <w:ilvl w:val="0"/>
          <w:numId w:val="8"/>
        </w:numPr>
        <w:pBdr>
          <w:top w:val="nil"/>
          <w:left w:val="nil"/>
          <w:bottom w:val="nil"/>
          <w:right w:val="nil"/>
          <w:between w:val="nil"/>
        </w:pBdr>
        <w:ind w:left="720"/>
      </w:pPr>
      <w:r w:rsidRPr="000E3C76">
        <w:rPr>
          <w:color w:val="000000"/>
        </w:rPr>
        <w:t>If the eligibility process is completed after June 30</w:t>
      </w:r>
      <w:r w:rsidRPr="000E3C76">
        <w:t xml:space="preserve">, the student will need to be reported in next year’s data submission. </w:t>
      </w:r>
    </w:p>
    <w:p w14:paraId="00000023" w14:textId="620FF995" w:rsidR="00DF5F87" w:rsidRDefault="00065A28" w:rsidP="00213634">
      <w:pPr>
        <w:numPr>
          <w:ilvl w:val="0"/>
          <w:numId w:val="8"/>
        </w:numPr>
        <w:pBdr>
          <w:top w:val="nil"/>
          <w:left w:val="nil"/>
          <w:bottom w:val="nil"/>
          <w:right w:val="nil"/>
          <w:between w:val="nil"/>
        </w:pBdr>
        <w:ind w:left="720"/>
      </w:pPr>
      <w:r w:rsidRPr="000E3C76">
        <w:t>A sufficient agreement must include evidence the parent agreed with the extension. This can be a parent’s signature, an email stating agreement</w:t>
      </w:r>
      <w:r w:rsidR="00B473A3">
        <w:t>,</w:t>
      </w:r>
      <w:r w:rsidRPr="000E3C76">
        <w:t xml:space="preserve"> or other evidence. A notification from the division to the parent stating an extension is needed is not sufficient.</w:t>
      </w:r>
    </w:p>
    <w:p w14:paraId="19E6C19E" w14:textId="77777777" w:rsidR="00213634" w:rsidRPr="00213634" w:rsidRDefault="00213634" w:rsidP="00213634">
      <w:pPr>
        <w:pBdr>
          <w:top w:val="nil"/>
          <w:left w:val="nil"/>
          <w:bottom w:val="nil"/>
          <w:right w:val="nil"/>
          <w:between w:val="nil"/>
        </w:pBdr>
        <w:ind w:left="720"/>
        <w:rPr>
          <w:sz w:val="16"/>
          <w:szCs w:val="16"/>
        </w:rPr>
      </w:pPr>
    </w:p>
    <w:p w14:paraId="1C8F407A" w14:textId="702953D4" w:rsidR="00B473A3" w:rsidRDefault="00213634" w:rsidP="00213634">
      <w:pPr>
        <w:pBdr>
          <w:top w:val="nil"/>
          <w:left w:val="nil"/>
          <w:bottom w:val="nil"/>
          <w:right w:val="nil"/>
          <w:between w:val="nil"/>
        </w:pBdr>
        <w:rPr>
          <w:color w:val="000000"/>
        </w:rPr>
      </w:pPr>
      <w:r w:rsidRPr="00213634">
        <w:rPr>
          <w:b/>
          <w:color w:val="000000"/>
        </w:rPr>
        <w:t>F.</w:t>
      </w:r>
      <w:r>
        <w:rPr>
          <w:color w:val="000000"/>
        </w:rPr>
        <w:t xml:space="preserve"> </w:t>
      </w:r>
      <w:r w:rsidR="00B473A3" w:rsidRPr="00E11433">
        <w:rPr>
          <w:color w:val="000000"/>
        </w:rPr>
        <w:t xml:space="preserve">Automatically populated. </w:t>
      </w:r>
    </w:p>
    <w:p w14:paraId="0FC2C6E1" w14:textId="77777777" w:rsidR="00213634" w:rsidRPr="00213634" w:rsidRDefault="00213634" w:rsidP="00213634">
      <w:pPr>
        <w:pBdr>
          <w:top w:val="nil"/>
          <w:left w:val="nil"/>
          <w:bottom w:val="nil"/>
          <w:right w:val="nil"/>
          <w:between w:val="nil"/>
        </w:pBdr>
        <w:rPr>
          <w:color w:val="000000"/>
          <w:sz w:val="16"/>
          <w:szCs w:val="16"/>
        </w:rPr>
      </w:pPr>
    </w:p>
    <w:p w14:paraId="00000024" w14:textId="461352A3" w:rsidR="00DF5F87" w:rsidRDefault="00213634" w:rsidP="00213634">
      <w:pPr>
        <w:pBdr>
          <w:top w:val="nil"/>
          <w:left w:val="nil"/>
          <w:bottom w:val="nil"/>
          <w:right w:val="nil"/>
          <w:between w:val="nil"/>
        </w:pBdr>
        <w:rPr>
          <w:color w:val="000000"/>
        </w:rPr>
      </w:pPr>
      <w:r w:rsidRPr="00213634">
        <w:rPr>
          <w:b/>
          <w:color w:val="000000"/>
        </w:rPr>
        <w:t>G.</w:t>
      </w:r>
      <w:r>
        <w:rPr>
          <w:color w:val="000000"/>
        </w:rPr>
        <w:t xml:space="preserve"> </w:t>
      </w:r>
      <w:r w:rsidR="00B473A3">
        <w:rPr>
          <w:color w:val="000000"/>
        </w:rPr>
        <w:t>Automatically population. This number is the</w:t>
      </w:r>
      <w:r w:rsidR="00065A28" w:rsidRPr="000E3C76">
        <w:rPr>
          <w:color w:val="000000"/>
        </w:rPr>
        <w:t xml:space="preserve"> denominator in the calculation.</w:t>
      </w:r>
    </w:p>
    <w:p w14:paraId="43293916" w14:textId="77777777" w:rsidR="00213634" w:rsidRPr="00213634" w:rsidRDefault="00213634" w:rsidP="00213634">
      <w:pPr>
        <w:pBdr>
          <w:top w:val="nil"/>
          <w:left w:val="nil"/>
          <w:bottom w:val="nil"/>
          <w:right w:val="nil"/>
          <w:between w:val="nil"/>
        </w:pBdr>
        <w:rPr>
          <w:color w:val="000000"/>
          <w:sz w:val="16"/>
          <w:szCs w:val="16"/>
        </w:rPr>
      </w:pPr>
    </w:p>
    <w:p w14:paraId="00000025" w14:textId="5DA0C366" w:rsidR="00DF5F87" w:rsidRDefault="00213634" w:rsidP="00213634">
      <w:pPr>
        <w:pBdr>
          <w:top w:val="nil"/>
          <w:left w:val="nil"/>
          <w:bottom w:val="nil"/>
          <w:right w:val="nil"/>
          <w:between w:val="nil"/>
        </w:pBdr>
        <w:rPr>
          <w:color w:val="000000"/>
        </w:rPr>
      </w:pPr>
      <w:r w:rsidRPr="00213634">
        <w:rPr>
          <w:b/>
          <w:color w:val="000000"/>
        </w:rPr>
        <w:t>H.</w:t>
      </w:r>
      <w:r>
        <w:rPr>
          <w:color w:val="000000"/>
        </w:rPr>
        <w:t xml:space="preserve"> </w:t>
      </w:r>
      <w:r w:rsidR="00065A28" w:rsidRPr="000E3C76">
        <w:rPr>
          <w:color w:val="000000"/>
        </w:rPr>
        <w:t>Enter the number of eligibility determinations completed within 65 business days. This number is the numerator in the calculation.</w:t>
      </w:r>
    </w:p>
    <w:p w14:paraId="06C171A4" w14:textId="77777777" w:rsidR="00213634" w:rsidRPr="00213634" w:rsidRDefault="00213634" w:rsidP="00213634">
      <w:pPr>
        <w:pBdr>
          <w:top w:val="nil"/>
          <w:left w:val="nil"/>
          <w:bottom w:val="nil"/>
          <w:right w:val="nil"/>
          <w:between w:val="nil"/>
        </w:pBdr>
        <w:rPr>
          <w:color w:val="000000"/>
          <w:sz w:val="16"/>
          <w:szCs w:val="16"/>
        </w:rPr>
      </w:pPr>
    </w:p>
    <w:p w14:paraId="00000026" w14:textId="05583DC8" w:rsidR="00DF5F87" w:rsidRDefault="00213634" w:rsidP="00213634">
      <w:pPr>
        <w:pBdr>
          <w:top w:val="nil"/>
          <w:left w:val="nil"/>
          <w:bottom w:val="nil"/>
          <w:right w:val="nil"/>
          <w:between w:val="nil"/>
        </w:pBdr>
        <w:rPr>
          <w:color w:val="000000"/>
        </w:rPr>
      </w:pPr>
      <w:r w:rsidRPr="00213634">
        <w:rPr>
          <w:b/>
          <w:color w:val="000000"/>
        </w:rPr>
        <w:t>J.</w:t>
      </w:r>
      <w:r>
        <w:rPr>
          <w:color w:val="000000"/>
        </w:rPr>
        <w:t xml:space="preserve"> </w:t>
      </w:r>
      <w:r w:rsidR="00065A28" w:rsidRPr="000E3C76">
        <w:rPr>
          <w:color w:val="000000"/>
        </w:rPr>
        <w:t xml:space="preserve">Automatically populated. This number must be explained in </w:t>
      </w:r>
      <w:r w:rsidR="00B473A3">
        <w:rPr>
          <w:color w:val="000000"/>
        </w:rPr>
        <w:t>S</w:t>
      </w:r>
      <w:r w:rsidR="00065A28" w:rsidRPr="000E3C76">
        <w:rPr>
          <w:color w:val="000000"/>
        </w:rPr>
        <w:t>ection 2.</w:t>
      </w:r>
    </w:p>
    <w:p w14:paraId="6E3BA5B4" w14:textId="77777777" w:rsidR="00213634" w:rsidRPr="00213634" w:rsidRDefault="00213634" w:rsidP="00213634">
      <w:pPr>
        <w:pBdr>
          <w:top w:val="nil"/>
          <w:left w:val="nil"/>
          <w:bottom w:val="nil"/>
          <w:right w:val="nil"/>
          <w:between w:val="nil"/>
        </w:pBdr>
        <w:rPr>
          <w:color w:val="000000"/>
          <w:sz w:val="16"/>
          <w:szCs w:val="16"/>
        </w:rPr>
      </w:pPr>
    </w:p>
    <w:p w14:paraId="00000027" w14:textId="19FDC7DF" w:rsidR="00DF5F87" w:rsidRPr="000E3C76" w:rsidRDefault="00213634" w:rsidP="00213634">
      <w:pPr>
        <w:pBdr>
          <w:top w:val="nil"/>
          <w:left w:val="nil"/>
          <w:bottom w:val="nil"/>
          <w:right w:val="nil"/>
          <w:between w:val="nil"/>
        </w:pBdr>
        <w:rPr>
          <w:color w:val="000000"/>
        </w:rPr>
      </w:pPr>
      <w:r w:rsidRPr="00213634">
        <w:rPr>
          <w:b/>
          <w:color w:val="000000"/>
        </w:rPr>
        <w:t>K.</w:t>
      </w:r>
      <w:r>
        <w:rPr>
          <w:color w:val="000000"/>
        </w:rPr>
        <w:t xml:space="preserve"> </w:t>
      </w:r>
      <w:r w:rsidR="00065A28" w:rsidRPr="000E3C76">
        <w:rPr>
          <w:color w:val="000000"/>
        </w:rPr>
        <w:t xml:space="preserve">Automatically calculated to show the percent of </w:t>
      </w:r>
      <w:r w:rsidR="00065A28" w:rsidRPr="000E3C76">
        <w:t xml:space="preserve">children </w:t>
      </w:r>
      <w:r w:rsidR="00065A28" w:rsidRPr="000E3C76">
        <w:rPr>
          <w:color w:val="000000"/>
        </w:rPr>
        <w:t>with parent consent to evaluate and eligibility determined within 65 business days. This is the percentage that will be reported to the public.</w:t>
      </w:r>
    </w:p>
    <w:p w14:paraId="00000028" w14:textId="77777777" w:rsidR="00DF5F87" w:rsidRPr="000E3C76" w:rsidRDefault="00DF5F87">
      <w:pPr>
        <w:pBdr>
          <w:top w:val="nil"/>
          <w:left w:val="nil"/>
          <w:bottom w:val="nil"/>
          <w:right w:val="nil"/>
          <w:between w:val="nil"/>
        </w:pBdr>
        <w:ind w:left="720"/>
        <w:rPr>
          <w:color w:val="000000"/>
        </w:rPr>
      </w:pPr>
    </w:p>
    <w:p w14:paraId="2EC83C88" w14:textId="32ADF4FA" w:rsidR="00B473A3" w:rsidRPr="000E41EB" w:rsidRDefault="00065A28">
      <w:pPr>
        <w:pBdr>
          <w:top w:val="nil"/>
          <w:left w:val="nil"/>
          <w:bottom w:val="nil"/>
          <w:right w:val="nil"/>
          <w:between w:val="nil"/>
        </w:pBdr>
        <w:rPr>
          <w:b/>
          <w:color w:val="000000"/>
        </w:rPr>
      </w:pPr>
      <w:r w:rsidRPr="000E41EB">
        <w:rPr>
          <w:b/>
          <w:color w:val="000000"/>
        </w:rPr>
        <w:t>Section 2</w:t>
      </w:r>
      <w:r w:rsidR="00B473A3" w:rsidRPr="000E41EB">
        <w:rPr>
          <w:b/>
          <w:color w:val="000000"/>
        </w:rPr>
        <w:t>:</w:t>
      </w:r>
      <w:r w:rsidRPr="000E41EB">
        <w:rPr>
          <w:b/>
          <w:color w:val="000000"/>
        </w:rPr>
        <w:t xml:space="preserve"> Account fo</w:t>
      </w:r>
      <w:r w:rsidR="000E41EB">
        <w:rPr>
          <w:b/>
          <w:color w:val="000000"/>
        </w:rPr>
        <w:t>r children in J. from Section 1</w:t>
      </w:r>
    </w:p>
    <w:p w14:paraId="078132C3" w14:textId="77777777" w:rsidR="00B473A3" w:rsidRPr="000E3C76" w:rsidRDefault="00B473A3">
      <w:pPr>
        <w:pBdr>
          <w:top w:val="nil"/>
          <w:left w:val="nil"/>
          <w:bottom w:val="nil"/>
          <w:right w:val="nil"/>
          <w:between w:val="nil"/>
        </w:pBdr>
        <w:rPr>
          <w:color w:val="000000"/>
        </w:rPr>
      </w:pPr>
    </w:p>
    <w:p w14:paraId="0000002A" w14:textId="632732E3" w:rsidR="00DF5F87" w:rsidRDefault="00213634" w:rsidP="00213634">
      <w:pPr>
        <w:pBdr>
          <w:top w:val="nil"/>
          <w:left w:val="nil"/>
          <w:bottom w:val="nil"/>
          <w:right w:val="nil"/>
          <w:between w:val="nil"/>
        </w:pBdr>
        <w:rPr>
          <w:color w:val="000000"/>
        </w:rPr>
      </w:pPr>
      <w:r w:rsidRPr="00213634">
        <w:rPr>
          <w:b/>
          <w:color w:val="000000"/>
        </w:rPr>
        <w:t>L.</w:t>
      </w:r>
      <w:r>
        <w:rPr>
          <w:color w:val="000000"/>
        </w:rPr>
        <w:t xml:space="preserve"> </w:t>
      </w:r>
      <w:r w:rsidR="00065A28" w:rsidRPr="000E3C76">
        <w:rPr>
          <w:color w:val="000000"/>
        </w:rPr>
        <w:t>Enter the number of eligibility determinations completed beyond 65 business days for each range of days. Use</w:t>
      </w:r>
      <w:r w:rsidR="00065A28" w:rsidRPr="000E3C76">
        <w:t xml:space="preserve"> </w:t>
      </w:r>
      <w:r w:rsidR="00065A28" w:rsidRPr="000E3C76">
        <w:rPr>
          <w:color w:val="000000"/>
        </w:rPr>
        <w:t>the exact number of business days, not an average, in determining the range.</w:t>
      </w:r>
    </w:p>
    <w:p w14:paraId="112D2A53" w14:textId="77777777" w:rsidR="00213634" w:rsidRPr="00213634" w:rsidRDefault="00213634" w:rsidP="00213634">
      <w:pPr>
        <w:pBdr>
          <w:top w:val="nil"/>
          <w:left w:val="nil"/>
          <w:bottom w:val="nil"/>
          <w:right w:val="nil"/>
          <w:between w:val="nil"/>
        </w:pBdr>
        <w:rPr>
          <w:color w:val="000000"/>
          <w:sz w:val="16"/>
          <w:szCs w:val="16"/>
        </w:rPr>
      </w:pPr>
    </w:p>
    <w:p w14:paraId="0000002B" w14:textId="52CFEF1F" w:rsidR="00DF5F87" w:rsidRDefault="00213634" w:rsidP="00213634">
      <w:pPr>
        <w:pBdr>
          <w:top w:val="nil"/>
          <w:left w:val="nil"/>
          <w:bottom w:val="nil"/>
          <w:right w:val="nil"/>
          <w:between w:val="nil"/>
        </w:pBdr>
        <w:rPr>
          <w:color w:val="000000"/>
        </w:rPr>
      </w:pPr>
      <w:r w:rsidRPr="00213634">
        <w:rPr>
          <w:b/>
          <w:color w:val="000000"/>
        </w:rPr>
        <w:t>M.</w:t>
      </w:r>
      <w:r>
        <w:rPr>
          <w:color w:val="000000"/>
        </w:rPr>
        <w:t xml:space="preserve"> </w:t>
      </w:r>
      <w:r w:rsidR="00065A28" w:rsidRPr="000E3C76">
        <w:rPr>
          <w:color w:val="000000"/>
        </w:rPr>
        <w:t>Enter the number of eligibility determinations completed beyond 65 business days for each listed applicable reason. Specify other reason not listed and the number of determinations beyond the time</w:t>
      </w:r>
      <w:r w:rsidR="00065A28" w:rsidRPr="000E3C76">
        <w:t>line</w:t>
      </w:r>
      <w:r w:rsidR="00065A28" w:rsidRPr="000E3C76">
        <w:rPr>
          <w:color w:val="000000"/>
        </w:rPr>
        <w:t>. No box can be left empty. Place a “0” in any box</w:t>
      </w:r>
      <w:r w:rsidR="00065A28" w:rsidRPr="000E3C76">
        <w:t xml:space="preserve"> that has</w:t>
      </w:r>
      <w:r w:rsidR="00065A28" w:rsidRPr="000E3C76">
        <w:rPr>
          <w:color w:val="000000"/>
        </w:rPr>
        <w:t xml:space="preserve"> no students.</w:t>
      </w:r>
    </w:p>
    <w:p w14:paraId="3BA7571F" w14:textId="77777777" w:rsidR="00590B95" w:rsidRPr="000E3C76" w:rsidRDefault="00590B95" w:rsidP="000E3C76">
      <w:pPr>
        <w:pBdr>
          <w:top w:val="nil"/>
          <w:left w:val="nil"/>
          <w:bottom w:val="nil"/>
          <w:right w:val="nil"/>
          <w:between w:val="nil"/>
        </w:pBdr>
        <w:ind w:left="720"/>
        <w:rPr>
          <w:color w:val="000000"/>
        </w:rPr>
      </w:pPr>
    </w:p>
    <w:p w14:paraId="0000002C" w14:textId="707C5A9E" w:rsidR="00DF5F87" w:rsidRPr="000E3C76" w:rsidRDefault="00590B95" w:rsidP="000E3C76">
      <w:pPr>
        <w:pBdr>
          <w:top w:val="nil"/>
          <w:left w:val="nil"/>
          <w:bottom w:val="nil"/>
          <w:right w:val="nil"/>
          <w:between w:val="nil"/>
        </w:pBdr>
        <w:rPr>
          <w:color w:val="000000"/>
        </w:rPr>
      </w:pPr>
      <w:r>
        <w:rPr>
          <w:color w:val="000000"/>
        </w:rPr>
        <w:t xml:space="preserve">Note: Parts </w:t>
      </w:r>
      <w:r w:rsidR="00065A28" w:rsidRPr="000E3C76">
        <w:rPr>
          <w:color w:val="000000"/>
        </w:rPr>
        <w:t>J., L., and M. must be the same or the application will not let you save the data. An error message in red will appear at the top of the page after hitting the save button.</w:t>
      </w:r>
    </w:p>
    <w:p w14:paraId="0000002D" w14:textId="77777777" w:rsidR="00DF5F87" w:rsidRPr="000E3C76" w:rsidRDefault="00065A28" w:rsidP="000E3C76">
      <w:pPr>
        <w:numPr>
          <w:ilvl w:val="0"/>
          <w:numId w:val="9"/>
        </w:numPr>
        <w:pBdr>
          <w:top w:val="nil"/>
          <w:left w:val="nil"/>
          <w:bottom w:val="nil"/>
          <w:right w:val="nil"/>
          <w:between w:val="nil"/>
        </w:pBdr>
        <w:ind w:left="720"/>
        <w:rPr>
          <w:color w:val="000000"/>
        </w:rPr>
      </w:pPr>
      <w:r w:rsidRPr="000E3C76">
        <w:rPr>
          <w:color w:val="000000"/>
        </w:rPr>
        <w:t xml:space="preserve">For all missed timelines, enter each student’s </w:t>
      </w:r>
      <w:r w:rsidRPr="000E3C76">
        <w:t xml:space="preserve">STI </w:t>
      </w:r>
      <w:r w:rsidRPr="000E3C76">
        <w:rPr>
          <w:color w:val="000000"/>
        </w:rPr>
        <w:t>or ID number in the box provided.</w:t>
      </w:r>
    </w:p>
    <w:p w14:paraId="0000002E" w14:textId="6DAD5C3A" w:rsidR="00DF5F87" w:rsidRPr="000E3C76" w:rsidRDefault="00065A28" w:rsidP="000E3C76">
      <w:pPr>
        <w:numPr>
          <w:ilvl w:val="0"/>
          <w:numId w:val="9"/>
        </w:numPr>
        <w:pBdr>
          <w:top w:val="nil"/>
          <w:left w:val="nil"/>
          <w:bottom w:val="nil"/>
          <w:right w:val="nil"/>
          <w:between w:val="nil"/>
        </w:pBdr>
        <w:ind w:left="720"/>
        <w:rPr>
          <w:color w:val="000000"/>
        </w:rPr>
      </w:pPr>
      <w:r w:rsidRPr="000E3C76">
        <w:rPr>
          <w:color w:val="000000"/>
        </w:rPr>
        <w:t>When all data has been entered, click on the “Finalized” box. This will lock Indicator 11</w:t>
      </w:r>
      <w:r w:rsidR="00B473A3">
        <w:rPr>
          <w:color w:val="000000"/>
        </w:rPr>
        <w:t>,</w:t>
      </w:r>
      <w:r w:rsidRPr="000E3C76">
        <w:rPr>
          <w:color w:val="000000"/>
        </w:rPr>
        <w:t xml:space="preserve"> and no additional data can be entered without first contacting your division director. </w:t>
      </w:r>
    </w:p>
    <w:sectPr w:rsidR="00DF5F87" w:rsidRPr="000E3C76" w:rsidSect="00E025F7">
      <w:footerReference w:type="default" r:id="rId7"/>
      <w:pgSz w:w="12240" w:h="15840"/>
      <w:pgMar w:top="1152"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54EC" w14:textId="77777777" w:rsidR="0081579D" w:rsidRDefault="0081579D">
      <w:r>
        <w:separator/>
      </w:r>
    </w:p>
  </w:endnote>
  <w:endnote w:type="continuationSeparator" w:id="0">
    <w:p w14:paraId="26E79561" w14:textId="77777777" w:rsidR="0081579D" w:rsidRDefault="0081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77777777" w:rsidR="00DF5F87" w:rsidRDefault="00DF5F87">
    <w:pPr>
      <w:pBdr>
        <w:top w:val="nil"/>
        <w:left w:val="nil"/>
        <w:bottom w:val="nil"/>
        <w:right w:val="nil"/>
        <w:between w:val="nil"/>
      </w:pBdr>
      <w:tabs>
        <w:tab w:val="center" w:pos="4320"/>
        <w:tab w:val="right" w:pos="864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F53F" w14:textId="77777777" w:rsidR="0081579D" w:rsidRDefault="0081579D">
      <w:r>
        <w:separator/>
      </w:r>
    </w:p>
  </w:footnote>
  <w:footnote w:type="continuationSeparator" w:id="0">
    <w:p w14:paraId="66F253D8" w14:textId="77777777" w:rsidR="0081579D" w:rsidRDefault="0081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67A"/>
    <w:multiLevelType w:val="multilevel"/>
    <w:tmpl w:val="B8BC9344"/>
    <w:lvl w:ilvl="0">
      <w:start w:val="1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1442A"/>
    <w:multiLevelType w:val="multilevel"/>
    <w:tmpl w:val="1E14349E"/>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3F5667"/>
    <w:multiLevelType w:val="multilevel"/>
    <w:tmpl w:val="C9985400"/>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4E21DC5"/>
    <w:multiLevelType w:val="multilevel"/>
    <w:tmpl w:val="91F26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80077"/>
    <w:multiLevelType w:val="multilevel"/>
    <w:tmpl w:val="F7BC95DC"/>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8282864"/>
    <w:multiLevelType w:val="multilevel"/>
    <w:tmpl w:val="B55E83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8D0949"/>
    <w:multiLevelType w:val="multilevel"/>
    <w:tmpl w:val="B0262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1E1762"/>
    <w:multiLevelType w:val="hybridMultilevel"/>
    <w:tmpl w:val="5358DA1A"/>
    <w:lvl w:ilvl="0" w:tplc="F5DC99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261AA"/>
    <w:multiLevelType w:val="multilevel"/>
    <w:tmpl w:val="019AE422"/>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7221DF"/>
    <w:multiLevelType w:val="hybridMultilevel"/>
    <w:tmpl w:val="A0ECE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91559D"/>
    <w:multiLevelType w:val="multilevel"/>
    <w:tmpl w:val="69F433F0"/>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1"/>
  </w:num>
  <w:num w:numId="4">
    <w:abstractNumId w:val="10"/>
  </w:num>
  <w:num w:numId="5">
    <w:abstractNumId w:val="8"/>
  </w:num>
  <w:num w:numId="6">
    <w:abstractNumId w:val="5"/>
  </w:num>
  <w:num w:numId="7">
    <w:abstractNumId w:val="0"/>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87"/>
    <w:rsid w:val="00040FAD"/>
    <w:rsid w:val="00065A28"/>
    <w:rsid w:val="000E3C76"/>
    <w:rsid w:val="000E41EB"/>
    <w:rsid w:val="00103464"/>
    <w:rsid w:val="00211114"/>
    <w:rsid w:val="00213634"/>
    <w:rsid w:val="00224CB1"/>
    <w:rsid w:val="003D7067"/>
    <w:rsid w:val="00472B15"/>
    <w:rsid w:val="0056598E"/>
    <w:rsid w:val="00590B95"/>
    <w:rsid w:val="00682D9F"/>
    <w:rsid w:val="0081579D"/>
    <w:rsid w:val="0083544A"/>
    <w:rsid w:val="008A4F9E"/>
    <w:rsid w:val="00993935"/>
    <w:rsid w:val="00B473A3"/>
    <w:rsid w:val="00C00336"/>
    <w:rsid w:val="00CC0FF1"/>
    <w:rsid w:val="00DF0583"/>
    <w:rsid w:val="00DF5F87"/>
    <w:rsid w:val="00E025F7"/>
    <w:rsid w:val="00EF34B1"/>
    <w:rsid w:val="00FA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16EB"/>
  <w15:docId w15:val="{9167865E-7820-469B-8637-BE91582D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EF34B1"/>
    <w:pPr>
      <w:keepNext/>
      <w:jc w:val="center"/>
      <w:outlineLvl w:val="0"/>
    </w:pPr>
    <w:rPr>
      <w:b/>
      <w:sz w:val="28"/>
    </w:rPr>
  </w:style>
  <w:style w:type="paragraph" w:styleId="Heading2">
    <w:name w:val="heading 2"/>
    <w:basedOn w:val="Normal"/>
    <w:next w:val="Normal"/>
    <w:rsid w:val="00EF34B1"/>
    <w:pPr>
      <w:keepNext/>
      <w:jc w:val="center"/>
      <w:outlineLvl w:val="1"/>
    </w:pPr>
    <w:rPr>
      <w:b/>
      <w:sz w:val="26"/>
      <w:szCs w:val="22"/>
    </w:rPr>
  </w:style>
  <w:style w:type="paragraph" w:styleId="Heading3">
    <w:name w:val="heading 3"/>
    <w:basedOn w:val="Normal"/>
    <w:next w:val="Normal"/>
    <w:pPr>
      <w:keepNext/>
      <w:outlineLvl w:val="2"/>
    </w:pPr>
    <w:rPr>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4CB1"/>
    <w:pPr>
      <w:ind w:left="720"/>
      <w:contextualSpacing/>
    </w:pPr>
  </w:style>
  <w:style w:type="paragraph" w:styleId="BalloonText">
    <w:name w:val="Balloon Text"/>
    <w:basedOn w:val="Normal"/>
    <w:link w:val="BalloonTextChar"/>
    <w:uiPriority w:val="99"/>
    <w:semiHidden/>
    <w:unhideWhenUsed/>
    <w:rsid w:val="00EF3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B1"/>
    <w:rPr>
      <w:rFonts w:ascii="Segoe UI" w:hAnsi="Segoe UI" w:cs="Segoe UI"/>
      <w:sz w:val="18"/>
      <w:szCs w:val="18"/>
    </w:rPr>
  </w:style>
  <w:style w:type="character" w:styleId="CommentReference">
    <w:name w:val="annotation reference"/>
    <w:basedOn w:val="DefaultParagraphFont"/>
    <w:uiPriority w:val="99"/>
    <w:semiHidden/>
    <w:unhideWhenUsed/>
    <w:rsid w:val="00B473A3"/>
    <w:rPr>
      <w:sz w:val="16"/>
      <w:szCs w:val="16"/>
    </w:rPr>
  </w:style>
  <w:style w:type="paragraph" w:styleId="CommentText">
    <w:name w:val="annotation text"/>
    <w:basedOn w:val="Normal"/>
    <w:link w:val="CommentTextChar"/>
    <w:uiPriority w:val="99"/>
    <w:semiHidden/>
    <w:unhideWhenUsed/>
    <w:rsid w:val="00B473A3"/>
    <w:rPr>
      <w:sz w:val="20"/>
      <w:szCs w:val="20"/>
    </w:rPr>
  </w:style>
  <w:style w:type="character" w:customStyle="1" w:styleId="CommentTextChar">
    <w:name w:val="Comment Text Char"/>
    <w:basedOn w:val="DefaultParagraphFont"/>
    <w:link w:val="CommentText"/>
    <w:uiPriority w:val="99"/>
    <w:semiHidden/>
    <w:rsid w:val="00B473A3"/>
    <w:rPr>
      <w:sz w:val="20"/>
      <w:szCs w:val="20"/>
    </w:rPr>
  </w:style>
  <w:style w:type="paragraph" w:styleId="CommentSubject">
    <w:name w:val="annotation subject"/>
    <w:basedOn w:val="CommentText"/>
    <w:next w:val="CommentText"/>
    <w:link w:val="CommentSubjectChar"/>
    <w:uiPriority w:val="99"/>
    <w:semiHidden/>
    <w:unhideWhenUsed/>
    <w:rsid w:val="00B473A3"/>
    <w:rPr>
      <w:b/>
      <w:bCs/>
    </w:rPr>
  </w:style>
  <w:style w:type="character" w:customStyle="1" w:styleId="CommentSubjectChar">
    <w:name w:val="Comment Subject Char"/>
    <w:basedOn w:val="CommentTextChar"/>
    <w:link w:val="CommentSubject"/>
    <w:uiPriority w:val="99"/>
    <w:semiHidden/>
    <w:rsid w:val="00B473A3"/>
    <w:rPr>
      <w:b/>
      <w:bCs/>
      <w:sz w:val="20"/>
      <w:szCs w:val="20"/>
    </w:rPr>
  </w:style>
  <w:style w:type="paragraph" w:styleId="Revision">
    <w:name w:val="Revision"/>
    <w:hidden/>
    <w:uiPriority w:val="99"/>
    <w:semiHidden/>
    <w:rsid w:val="0004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Reporting Indicator 11</dc:title>
  <dc:creator>Vineyard, Amy (DOE)</dc:creator>
  <cp:lastModifiedBy>VITA Program</cp:lastModifiedBy>
  <cp:revision>7</cp:revision>
  <dcterms:created xsi:type="dcterms:W3CDTF">2022-03-11T13:19:00Z</dcterms:created>
  <dcterms:modified xsi:type="dcterms:W3CDTF">2022-03-16T18:47:00Z</dcterms:modified>
</cp:coreProperties>
</file>