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8C" w:rsidRDefault="00587421" w:rsidP="00D3558C">
      <w:pPr>
        <w:pStyle w:val="Header"/>
        <w:jc w:val="center"/>
        <w:rPr>
          <w:rFonts w:ascii="Times New Roman" w:hAnsi="Times New Roman"/>
          <w:b/>
          <w:smallCaps/>
          <w:color w:val="000000"/>
          <w:sz w:val="28"/>
          <w:szCs w:val="28"/>
          <w:u w:val="single"/>
        </w:rPr>
      </w:pPr>
      <w:bookmarkStart w:id="0" w:name="_GoBack"/>
      <w:bookmarkEnd w:id="0"/>
      <w:r>
        <w:rPr>
          <w:b/>
          <w:color w:val="000000"/>
          <w:sz w:val="24"/>
          <w:szCs w:val="24"/>
        </w:rPr>
        <w:t xml:space="preserve"> </w:t>
      </w:r>
      <w:r w:rsidR="00D3558C" w:rsidRPr="00587421">
        <w:rPr>
          <w:rFonts w:ascii="Times New Roman" w:hAnsi="Times New Roman"/>
          <w:b/>
          <w:smallCaps/>
          <w:color w:val="000000"/>
          <w:sz w:val="28"/>
          <w:szCs w:val="28"/>
          <w:u w:val="single"/>
        </w:rPr>
        <w:t xml:space="preserve">Additional Required Special Terms and Conditions </w:t>
      </w:r>
    </w:p>
    <w:p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rsidR="00587421" w:rsidRDefault="00587421" w:rsidP="00EB31CC">
      <w:pPr>
        <w:tabs>
          <w:tab w:val="left" w:pos="450"/>
        </w:tabs>
        <w:ind w:left="0"/>
        <w:jc w:val="both"/>
        <w:rPr>
          <w:b/>
          <w:color w:val="000000"/>
          <w:sz w:val="24"/>
          <w:szCs w:val="24"/>
        </w:rPr>
      </w:pPr>
    </w:p>
    <w:p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rsidR="0071719C" w:rsidRDefault="0071719C" w:rsidP="0071719C">
      <w:pPr>
        <w:ind w:left="0"/>
        <w:contextualSpacing/>
        <w:rPr>
          <w:color w:val="000000"/>
          <w:sz w:val="24"/>
          <w:szCs w:val="24"/>
        </w:rPr>
      </w:pPr>
      <w:r w:rsidRPr="0071719C">
        <w:rPr>
          <w:sz w:val="24"/>
          <w:szCs w:val="24"/>
        </w:rPr>
        <w:t>(</w:t>
      </w:r>
      <w:proofErr w:type="gramStart"/>
      <w:r w:rsidRPr="0071719C">
        <w:rPr>
          <w:sz w:val="24"/>
          <w:szCs w:val="24"/>
        </w:rPr>
        <w:t>i.e</w:t>
      </w:r>
      <w:proofErr w:type="gramEnd"/>
      <w:r w:rsidRPr="0071719C">
        <w:rPr>
          <w:sz w:val="24"/>
          <w:szCs w:val="24"/>
        </w:rPr>
        <w:t>. papers, reports, forms, materials, creations, or inventions (</w:t>
      </w:r>
      <w:r w:rsidRPr="0071719C">
        <w:rPr>
          <w:color w:val="000000"/>
          <w:sz w:val="24"/>
          <w:szCs w:val="24"/>
        </w:rPr>
        <w:t>intangible property))</w:t>
      </w:r>
    </w:p>
    <w:p w:rsidR="0071719C" w:rsidRDefault="0071719C" w:rsidP="0071719C">
      <w:pPr>
        <w:ind w:left="0"/>
        <w:contextualSpacing/>
        <w:rPr>
          <w:color w:val="000000"/>
          <w:sz w:val="24"/>
          <w:szCs w:val="24"/>
        </w:rPr>
      </w:pPr>
    </w:p>
    <w:p w:rsidR="00553EA5" w:rsidRPr="0043471C" w:rsidRDefault="00553EA5" w:rsidP="0071719C">
      <w:pPr>
        <w:ind w:left="0"/>
        <w:contextualSpacing/>
        <w:rPr>
          <w:b/>
          <w:color w:val="0000FF"/>
          <w:sz w:val="24"/>
          <w:szCs w:val="24"/>
        </w:rPr>
      </w:pPr>
      <w:r w:rsidRPr="0043471C">
        <w:rPr>
          <w:b/>
          <w:color w:val="0000FF"/>
          <w:sz w:val="24"/>
          <w:szCs w:val="24"/>
        </w:rPr>
        <w:t xml:space="preserve">Special Terms and Conditions for Intellectual Property apply for all grants or cooperative agreements, regardless of funding source (General, Special, </w:t>
      </w:r>
      <w:proofErr w:type="gramStart"/>
      <w:r w:rsidRPr="0043471C">
        <w:rPr>
          <w:b/>
          <w:color w:val="0000FF"/>
          <w:sz w:val="24"/>
          <w:szCs w:val="24"/>
        </w:rPr>
        <w:t>Federal</w:t>
      </w:r>
      <w:proofErr w:type="gramEnd"/>
      <w:r w:rsidRPr="0043471C">
        <w:rPr>
          <w:b/>
          <w:color w:val="0000FF"/>
          <w:sz w:val="24"/>
          <w:szCs w:val="24"/>
        </w:rPr>
        <w:t>).</w:t>
      </w:r>
    </w:p>
    <w:p w:rsidR="00553EA5" w:rsidRDefault="00553EA5" w:rsidP="0071719C">
      <w:pPr>
        <w:ind w:left="0"/>
        <w:contextualSpacing/>
        <w:rPr>
          <w:color w:val="000000"/>
          <w:sz w:val="24"/>
          <w:szCs w:val="24"/>
        </w:rPr>
      </w:pPr>
    </w:p>
    <w:p w:rsidR="0052363C" w:rsidRDefault="00553EA5" w:rsidP="0052363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w:t>
      </w:r>
      <w:r w:rsidR="00C2798C">
        <w:rPr>
          <w:color w:val="000000"/>
          <w:sz w:val="24"/>
          <w:szCs w:val="24"/>
        </w:rPr>
        <w:t xml:space="preserve">pecific federal grant, such as </w:t>
      </w:r>
      <w:r w:rsidR="00F1070B" w:rsidRPr="00F1070B">
        <w:rPr>
          <w:color w:val="000000"/>
          <w:sz w:val="24"/>
          <w:szCs w:val="24"/>
        </w:rPr>
        <w:t>making any work (e.g., materials, tools, processes, systems) developed freely available to the public, en</w:t>
      </w:r>
      <w:r w:rsidR="00C2798C">
        <w:rPr>
          <w:color w:val="000000"/>
          <w:sz w:val="24"/>
          <w:szCs w:val="24"/>
        </w:rPr>
        <w:t>suring any websites developed</w:t>
      </w:r>
      <w:r w:rsidR="00F1070B">
        <w:rPr>
          <w:color w:val="000000"/>
          <w:sz w:val="24"/>
          <w:szCs w:val="24"/>
        </w:rPr>
        <w:t xml:space="preserve">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are met.</w:t>
      </w:r>
    </w:p>
    <w:p w:rsidR="0071719C" w:rsidRPr="0071719C" w:rsidRDefault="0052363C" w:rsidP="0052363C">
      <w:pPr>
        <w:ind w:left="0"/>
        <w:contextualSpacing/>
        <w:rPr>
          <w:rFonts w:ascii="Tahoma" w:hAnsi="Tahoma" w:cs="Tahoma"/>
          <w:b/>
          <w:sz w:val="24"/>
          <w:szCs w:val="24"/>
        </w:rPr>
      </w:pPr>
      <w:r w:rsidRPr="0071719C">
        <w:rPr>
          <w:rFonts w:ascii="Tahoma" w:hAnsi="Tahoma" w:cs="Tahoma"/>
          <w:b/>
          <w:sz w:val="24"/>
          <w:szCs w:val="24"/>
        </w:rPr>
        <w:t xml:space="preserve"> </w:t>
      </w:r>
    </w:p>
    <w:p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rsidR="00F1070B" w:rsidRDefault="00F1070B" w:rsidP="00F1070B">
      <w:pPr>
        <w:pStyle w:val="ListParagraph"/>
        <w:contextualSpacing/>
        <w:rPr>
          <w:sz w:val="24"/>
          <w:szCs w:val="24"/>
          <w:u w:val="single"/>
          <w:shd w:val="clear" w:color="auto" w:fill="FFFFFF"/>
        </w:rPr>
      </w:pPr>
    </w:p>
    <w:p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rsidR="00F1070B" w:rsidRDefault="00F1070B" w:rsidP="00F1070B">
      <w:pPr>
        <w:pStyle w:val="ListParagraph"/>
        <w:contextualSpacing/>
        <w:rPr>
          <w:rFonts w:eastAsiaTheme="majorEastAsia"/>
          <w:bCs/>
          <w:sz w:val="24"/>
          <w:szCs w:val="24"/>
        </w:rPr>
      </w:pPr>
    </w:p>
    <w:p w:rsidR="00F1070B" w:rsidRDefault="0071719C" w:rsidP="0052363C">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w:t>
      </w:r>
      <w:r w:rsidR="0052363C">
        <w:rPr>
          <w:rFonts w:eastAsiaTheme="majorEastAsia"/>
          <w:b/>
          <w:bCs/>
          <w:sz w:val="24"/>
          <w:szCs w:val="24"/>
        </w:rPr>
        <w:t xml:space="preserve"> </w:t>
      </w:r>
    </w:p>
    <w:p w:rsidR="009F5F56" w:rsidRDefault="009F5F56" w:rsidP="0071719C">
      <w:pPr>
        <w:ind w:left="1440"/>
        <w:contextualSpacing/>
        <w:rPr>
          <w:sz w:val="24"/>
          <w:szCs w:val="24"/>
        </w:rPr>
      </w:pPr>
    </w:p>
    <w:p w:rsidR="009F5F56" w:rsidRDefault="009F5F56" w:rsidP="0071719C">
      <w:pPr>
        <w:ind w:left="1440"/>
        <w:contextualSpacing/>
        <w:rPr>
          <w:sz w:val="24"/>
          <w:szCs w:val="24"/>
        </w:rPr>
      </w:pPr>
    </w:p>
    <w:p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rsidR="00AE7411" w:rsidRDefault="00AE7411" w:rsidP="004409D6">
      <w:pPr>
        <w:ind w:left="0"/>
        <w:contextualSpacing/>
        <w:rPr>
          <w:b/>
          <w:sz w:val="28"/>
          <w:szCs w:val="28"/>
          <w:u w:val="single"/>
        </w:rPr>
      </w:pPr>
    </w:p>
    <w:p w:rsidR="00E64F7E" w:rsidRDefault="00E14F19" w:rsidP="004409D6">
      <w:pPr>
        <w:ind w:left="0"/>
        <w:contextualSpacing/>
        <w:rPr>
          <w:sz w:val="24"/>
          <w:szCs w:val="24"/>
        </w:rPr>
      </w:pPr>
      <w:r w:rsidRPr="00E14F19">
        <w:rPr>
          <w:sz w:val="24"/>
          <w:szCs w:val="24"/>
        </w:rPr>
        <w:t xml:space="preserve">According to 2 CFR §200.213, non-federal entities are subject to the non-procurement debarment and suspension regulations implementing Executive Orders 12549 and 12689, 2 CFR part 180. These regulations restrict awards, </w:t>
      </w:r>
      <w:proofErr w:type="spellStart"/>
      <w:r w:rsidRPr="00E14F19">
        <w:rPr>
          <w:sz w:val="24"/>
          <w:szCs w:val="24"/>
        </w:rPr>
        <w:t>subawards</w:t>
      </w:r>
      <w:proofErr w:type="spellEnd"/>
      <w:r w:rsidRPr="00E14F19">
        <w:rPr>
          <w:sz w:val="24"/>
          <w:szCs w:val="24"/>
        </w:rPr>
        <w:t>, and contracts with certain parties that are debarred, suspended, or otherwise excluded from or ineligible for participation in federal assistance programs or activities.</w:t>
      </w:r>
    </w:p>
    <w:p w:rsidR="00E14F19" w:rsidRDefault="00E14F19" w:rsidP="004409D6">
      <w:pPr>
        <w:ind w:left="0"/>
        <w:contextualSpacing/>
        <w:rPr>
          <w:sz w:val="24"/>
          <w:szCs w:val="24"/>
        </w:rPr>
      </w:pPr>
    </w:p>
    <w:p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rsidR="00E64F7E" w:rsidRPr="00C919B6" w:rsidRDefault="00E64F7E" w:rsidP="004409D6">
      <w:pPr>
        <w:ind w:left="0"/>
        <w:contextualSpacing/>
        <w:rPr>
          <w:sz w:val="28"/>
          <w:szCs w:val="28"/>
        </w:rPr>
      </w:pPr>
    </w:p>
    <w:p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rsidR="0084494C" w:rsidRDefault="0084494C" w:rsidP="005F49FA">
      <w:pPr>
        <w:tabs>
          <w:tab w:val="left" w:pos="450"/>
        </w:tabs>
        <w:ind w:left="0"/>
        <w:jc w:val="both"/>
        <w:rPr>
          <w:color w:val="000000"/>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rsidR="0084494C" w:rsidRPr="0071719C" w:rsidRDefault="0084494C" w:rsidP="005F49FA">
      <w:pPr>
        <w:tabs>
          <w:tab w:val="left" w:pos="450"/>
        </w:tabs>
        <w:ind w:left="0"/>
        <w:jc w:val="both"/>
        <w:rPr>
          <w:color w:val="000000"/>
          <w:sz w:val="24"/>
          <w:szCs w:val="24"/>
        </w:rPr>
      </w:pP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lastRenderedPageBreak/>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rsidR="0084494C" w:rsidRPr="0071719C" w:rsidRDefault="0084494C" w:rsidP="0084494C">
      <w:pPr>
        <w:pStyle w:val="ListParagraph"/>
        <w:numPr>
          <w:ilvl w:val="0"/>
          <w:numId w:val="22"/>
        </w:numPr>
        <w:tabs>
          <w:tab w:val="left" w:pos="450"/>
        </w:tabs>
        <w:jc w:val="both"/>
        <w:rPr>
          <w:color w:val="000000"/>
          <w:sz w:val="24"/>
          <w:szCs w:val="24"/>
        </w:rPr>
      </w:pPr>
      <w:proofErr w:type="gramStart"/>
      <w:r w:rsidRPr="0071719C">
        <w:rPr>
          <w:color w:val="000000"/>
          <w:sz w:val="24"/>
          <w:szCs w:val="24"/>
        </w:rPr>
        <w:t>the</w:t>
      </w:r>
      <w:proofErr w:type="gramEnd"/>
      <w:r w:rsidRPr="0071719C">
        <w:rPr>
          <w:color w:val="000000"/>
          <w:sz w:val="24"/>
          <w:szCs w:val="24"/>
        </w:rPr>
        <w:t xml:space="preserve"> percentage and dollar amount of the total costs of the project or program that will be financed by non-governmental sources.</w:t>
      </w:r>
    </w:p>
    <w:p w:rsidR="0084494C" w:rsidRPr="0071719C" w:rsidRDefault="0084494C" w:rsidP="0084494C">
      <w:pPr>
        <w:tabs>
          <w:tab w:val="left" w:pos="450"/>
        </w:tabs>
        <w:ind w:left="0"/>
        <w:jc w:val="both"/>
        <w:rPr>
          <w:color w:val="000000"/>
          <w:sz w:val="24"/>
          <w:szCs w:val="24"/>
        </w:rPr>
      </w:pPr>
    </w:p>
    <w:p w:rsidR="0084494C" w:rsidRPr="0071719C" w:rsidRDefault="0084494C" w:rsidP="0084494C">
      <w:pPr>
        <w:tabs>
          <w:tab w:val="left" w:pos="450"/>
        </w:tabs>
        <w:ind w:left="0"/>
        <w:jc w:val="both"/>
        <w:rPr>
          <w:color w:val="000000"/>
          <w:sz w:val="24"/>
          <w:szCs w:val="24"/>
        </w:rPr>
      </w:pPr>
      <w:r w:rsidRPr="0071719C">
        <w:rPr>
          <w:color w:val="000000"/>
          <w:sz w:val="24"/>
          <w:szCs w:val="24"/>
        </w:rPr>
        <w:t xml:space="preserve">Recipients must comply with these conditions under Division H, Title V, </w:t>
      </w:r>
      <w:proofErr w:type="gramStart"/>
      <w:r w:rsidRPr="0071719C">
        <w:rPr>
          <w:color w:val="000000"/>
          <w:sz w:val="24"/>
          <w:szCs w:val="24"/>
        </w:rPr>
        <w:t>Section</w:t>
      </w:r>
      <w:proofErr w:type="gramEnd"/>
      <w:r w:rsidRPr="0071719C">
        <w:rPr>
          <w:color w:val="000000"/>
          <w:sz w:val="24"/>
          <w:szCs w:val="24"/>
        </w:rPr>
        <w:t xml:space="preserve"> 505 of Public Law 113-76. Consolidated Appropriations Act, 2014.</w:t>
      </w:r>
    </w:p>
    <w:p w:rsidR="0084494C" w:rsidRPr="0071719C" w:rsidRDefault="0084494C" w:rsidP="005F49FA">
      <w:pPr>
        <w:tabs>
          <w:tab w:val="left" w:pos="450"/>
        </w:tabs>
        <w:ind w:left="0"/>
        <w:jc w:val="both"/>
        <w:rPr>
          <w:b/>
          <w:color w:val="000000"/>
          <w:sz w:val="24"/>
          <w:szCs w:val="24"/>
        </w:rPr>
      </w:pPr>
    </w:p>
    <w:p w:rsidR="009F5F56" w:rsidRDefault="009F5F56">
      <w:pPr>
        <w:ind w:left="0"/>
        <w:rPr>
          <w:b/>
          <w:color w:val="000000"/>
          <w:sz w:val="24"/>
          <w:szCs w:val="24"/>
        </w:rPr>
      </w:pPr>
    </w:p>
    <w:p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rsidR="0084494C" w:rsidRDefault="0084494C" w:rsidP="005F49FA">
      <w:pPr>
        <w:tabs>
          <w:tab w:val="left" w:pos="450"/>
        </w:tabs>
        <w:ind w:left="0"/>
        <w:jc w:val="both"/>
        <w:rPr>
          <w:b/>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rsidR="0084494C" w:rsidRPr="0071719C" w:rsidRDefault="0084494C" w:rsidP="005F49FA">
      <w:pPr>
        <w:tabs>
          <w:tab w:val="left" w:pos="450"/>
        </w:tabs>
        <w:ind w:left="0"/>
        <w:jc w:val="both"/>
        <w:rPr>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Recipients must comply with these conditions under Executive Order 13513, “Federal Leadership on Reducing Text Messaging While </w:t>
      </w:r>
      <w:proofErr w:type="gramStart"/>
      <w:r w:rsidRPr="0071719C">
        <w:rPr>
          <w:color w:val="000000"/>
          <w:sz w:val="24"/>
          <w:szCs w:val="24"/>
        </w:rPr>
        <w:t>Driving</w:t>
      </w:r>
      <w:proofErr w:type="gramEnd"/>
      <w:r w:rsidRPr="0071719C">
        <w:rPr>
          <w:color w:val="000000"/>
          <w:sz w:val="24"/>
          <w:szCs w:val="24"/>
        </w:rPr>
        <w:t>,” October 1, 2009.</w:t>
      </w:r>
    </w:p>
    <w:p w:rsidR="00D3558C" w:rsidRPr="0071719C" w:rsidRDefault="00D3558C" w:rsidP="005F49FA">
      <w:pPr>
        <w:tabs>
          <w:tab w:val="left" w:pos="450"/>
        </w:tabs>
        <w:ind w:left="0"/>
        <w:jc w:val="both"/>
        <w:rPr>
          <w:b/>
          <w:color w:val="000000"/>
          <w:sz w:val="24"/>
          <w:szCs w:val="24"/>
        </w:rPr>
      </w:pPr>
    </w:p>
    <w:p w:rsidR="00D3558C" w:rsidRDefault="00D3558C" w:rsidP="005F49FA">
      <w:pPr>
        <w:tabs>
          <w:tab w:val="left" w:pos="450"/>
        </w:tabs>
        <w:ind w:left="0"/>
        <w:jc w:val="both"/>
        <w:rPr>
          <w:b/>
          <w:color w:val="000000"/>
          <w:sz w:val="24"/>
          <w:szCs w:val="24"/>
        </w:rPr>
      </w:pPr>
    </w:p>
    <w:p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rsidR="005F49FA" w:rsidRPr="005F49FA" w:rsidRDefault="005F49FA" w:rsidP="00586602">
      <w:pPr>
        <w:pStyle w:val="NormalWeb"/>
        <w:spacing w:before="0" w:beforeAutospacing="0" w:after="0" w:afterAutospacing="0"/>
        <w:ind w:firstLine="0"/>
        <w:rPr>
          <w:sz w:val="20"/>
          <w:szCs w:val="20"/>
        </w:rPr>
      </w:pPr>
    </w:p>
    <w:p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rsidR="009D1E57" w:rsidRPr="0071719C" w:rsidRDefault="009D1E57" w:rsidP="009D1E57">
      <w:pPr>
        <w:pStyle w:val="NormalWeb"/>
        <w:spacing w:before="0" w:beforeAutospacing="0" w:after="0" w:afterAutospacing="0"/>
        <w:ind w:left="360" w:firstLine="0"/>
      </w:pPr>
    </w:p>
    <w:p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rsidR="00DF5B25" w:rsidRPr="0071719C" w:rsidRDefault="00DF5B25" w:rsidP="00DF5B25">
      <w:pPr>
        <w:pStyle w:val="ListParagraph"/>
        <w:rPr>
          <w:sz w:val="24"/>
          <w:szCs w:val="24"/>
        </w:rPr>
      </w:pPr>
    </w:p>
    <w:p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rsidR="00DF5B25" w:rsidRPr="0071719C" w:rsidRDefault="00DF5B25" w:rsidP="00DF5B25">
      <w:pPr>
        <w:pStyle w:val="NormalWeb"/>
        <w:spacing w:before="0" w:beforeAutospacing="0" w:after="0" w:afterAutospacing="0"/>
        <w:ind w:left="360" w:firstLine="0"/>
      </w:pPr>
    </w:p>
    <w:p w:rsidR="00374446" w:rsidRPr="00587421" w:rsidRDefault="00374446" w:rsidP="00587421"/>
    <w:sectPr w:rsidR="00374446" w:rsidRPr="00587421" w:rsidSect="00D84E97">
      <w:headerReference w:type="default" r:id="rId8"/>
      <w:footerReference w:type="default" r:id="rId9"/>
      <w:headerReference w:type="first" r:id="rId10"/>
      <w:footerReference w:type="first" r:id="rId11"/>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017" w:rsidRDefault="007F3017" w:rsidP="00B83146">
      <w:pPr>
        <w:pStyle w:val="DocumentLabel"/>
      </w:pPr>
      <w:r>
        <w:separator/>
      </w:r>
    </w:p>
  </w:endnote>
  <w:endnote w:type="continuationSeparator" w:id="0">
    <w:p w:rsidR="007F3017" w:rsidRDefault="007F3017"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8C" w:rsidRPr="00E57B8D" w:rsidRDefault="00D3558C" w:rsidP="00D3558C">
    <w:pPr>
      <w:pStyle w:val="Footer"/>
      <w:jc w:val="right"/>
      <w:rPr>
        <w:rFonts w:ascii="Times New Roman" w:hAnsi="Times New Roman"/>
        <w:sz w:val="16"/>
        <w:szCs w:val="16"/>
      </w:rPr>
    </w:pPr>
    <w:r>
      <w:rPr>
        <w:rFonts w:ascii="Times New Roman" w:hAnsi="Times New Roman"/>
        <w:sz w:val="16"/>
        <w:szCs w:val="16"/>
      </w:rPr>
      <w:t xml:space="preserve">Last Revised Date </w:t>
    </w:r>
    <w:r w:rsidR="00C919B6">
      <w:rPr>
        <w:rFonts w:ascii="Times New Roman" w:hAnsi="Times New Roman"/>
        <w:sz w:val="16"/>
        <w:szCs w:val="16"/>
      </w:rPr>
      <w:t>02</w:t>
    </w:r>
    <w:r w:rsidR="005671CA" w:rsidRPr="00E57B8D">
      <w:rPr>
        <w:rFonts w:ascii="Times New Roman" w:hAnsi="Times New Roman"/>
        <w:sz w:val="16"/>
        <w:szCs w:val="16"/>
      </w:rPr>
      <w:t>/</w:t>
    </w:r>
    <w:r w:rsidR="00C919B6">
      <w:rPr>
        <w:rFonts w:ascii="Times New Roman" w:hAnsi="Times New Roman"/>
        <w:sz w:val="16"/>
        <w:szCs w:val="16"/>
      </w:rPr>
      <w:t>08/2019</w:t>
    </w:r>
  </w:p>
  <w:p w:rsidR="00D3558C" w:rsidRDefault="00D3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CC" w:rsidRPr="00E57B8D" w:rsidRDefault="00E57B8D" w:rsidP="00E57B8D">
    <w:pPr>
      <w:pStyle w:val="Footer"/>
      <w:jc w:val="right"/>
      <w:rPr>
        <w:rFonts w:ascii="Times New Roman" w:hAnsi="Times New Roman"/>
        <w:sz w:val="16"/>
        <w:szCs w:val="16"/>
      </w:rPr>
    </w:pPr>
    <w:r>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017" w:rsidRDefault="007F3017" w:rsidP="00B83146">
      <w:pPr>
        <w:pStyle w:val="DocumentLabel"/>
      </w:pPr>
      <w:r>
        <w:separator/>
      </w:r>
    </w:p>
  </w:footnote>
  <w:footnote w:type="continuationSeparator" w:id="0">
    <w:p w:rsidR="007F3017" w:rsidRDefault="007F3017">
      <w:r>
        <w:separator/>
      </w:r>
    </w:p>
  </w:footnote>
  <w:footnote w:type="continuationNotice" w:id="1">
    <w:p w:rsidR="007F3017" w:rsidRDefault="007F3017">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63C" w:rsidRPr="00D84E97" w:rsidRDefault="00605E19" w:rsidP="00D84E97">
    <w:pPr>
      <w:pStyle w:val="Header"/>
      <w:tabs>
        <w:tab w:val="clear" w:pos="4320"/>
        <w:tab w:val="clear" w:pos="8640"/>
      </w:tabs>
      <w:jc w:val="right"/>
      <w:rPr>
        <w:rFonts w:ascii="Times New Roman" w:hAnsi="Times New Roman"/>
        <w:sz w:val="18"/>
        <w:szCs w:val="18"/>
      </w:rPr>
    </w:pPr>
    <w:r>
      <w:rPr>
        <w:rFonts w:ascii="Times New Roman" w:hAnsi="Times New Roman"/>
        <w:b/>
      </w:rPr>
      <w:tab/>
    </w:r>
    <w:r>
      <w:rPr>
        <w:rFonts w:ascii="Times New Roman" w:hAnsi="Times New Roman"/>
        <w:b/>
      </w:rPr>
      <w:tab/>
    </w:r>
    <w:r w:rsidR="00D84E97">
      <w:rPr>
        <w:rFonts w:ascii="Times New Roman" w:hAnsi="Times New Roman"/>
        <w:b/>
      </w:rPr>
      <w:t xml:space="preserve">      </w:t>
    </w:r>
    <w:r w:rsidRPr="00D84E97">
      <w:rPr>
        <w:rFonts w:ascii="Times New Roman" w:hAnsi="Times New Roman"/>
        <w:sz w:val="18"/>
        <w:szCs w:val="18"/>
      </w:rPr>
      <w:t>Attachment A – Special Terms and Conditions</w:t>
    </w:r>
  </w:p>
  <w:p w:rsidR="00605E19" w:rsidRPr="00D84E97" w:rsidRDefault="0052363C" w:rsidP="00D84E9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ab/>
    </w:r>
    <w:r w:rsidRPr="00D84E97">
      <w:rPr>
        <w:rFonts w:ascii="Times New Roman" w:hAnsi="Times New Roman"/>
        <w:sz w:val="18"/>
        <w:szCs w:val="18"/>
      </w:rPr>
      <w:tab/>
    </w:r>
    <w:r w:rsidR="0033593B" w:rsidRPr="00D84E97">
      <w:rPr>
        <w:rFonts w:ascii="Times New Roman" w:hAnsi="Times New Roman"/>
        <w:sz w:val="18"/>
        <w:szCs w:val="18"/>
      </w:rPr>
      <w:t>Superintendent’s Memo</w:t>
    </w:r>
    <w:r w:rsidR="00605E19" w:rsidRPr="00D84E97">
      <w:rPr>
        <w:rFonts w:ascii="Times New Roman" w:hAnsi="Times New Roman"/>
        <w:sz w:val="18"/>
        <w:szCs w:val="18"/>
      </w:rPr>
      <w:t xml:space="preserve"> </w:t>
    </w:r>
    <w:r w:rsidR="0033593B" w:rsidRPr="00D84E97">
      <w:rPr>
        <w:rFonts w:ascii="Times New Roman" w:hAnsi="Times New Roman"/>
        <w:sz w:val="18"/>
        <w:szCs w:val="18"/>
      </w:rPr>
      <w:t>#</w:t>
    </w:r>
    <w:r w:rsidR="00EB7388">
      <w:rPr>
        <w:rFonts w:ascii="Times New Roman" w:hAnsi="Times New Roman"/>
        <w:sz w:val="18"/>
        <w:szCs w:val="18"/>
      </w:rPr>
      <w:t>261</w:t>
    </w:r>
    <w:r w:rsidR="0004784B">
      <w:rPr>
        <w:rFonts w:ascii="Times New Roman" w:hAnsi="Times New Roman"/>
        <w:sz w:val="18"/>
        <w:szCs w:val="18"/>
      </w:rPr>
      <w:t>-20</w:t>
    </w:r>
  </w:p>
  <w:p w:rsidR="00605E19" w:rsidRPr="00D84E97" w:rsidRDefault="00605E19" w:rsidP="00D84E9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ab/>
    </w:r>
    <w:r w:rsidRPr="00D84E97">
      <w:rPr>
        <w:rFonts w:ascii="Times New Roman" w:hAnsi="Times New Roman"/>
        <w:sz w:val="18"/>
        <w:szCs w:val="18"/>
      </w:rPr>
      <w:tab/>
    </w:r>
    <w:r w:rsidR="00D479DA">
      <w:rPr>
        <w:rFonts w:ascii="Times New Roman" w:hAnsi="Times New Roman"/>
        <w:sz w:val="18"/>
        <w:szCs w:val="18"/>
      </w:rPr>
      <w:t>October 2</w:t>
    </w:r>
    <w:r w:rsidRPr="00D84E97">
      <w:rPr>
        <w:rFonts w:ascii="Times New Roman" w:hAnsi="Times New Roman"/>
        <w:sz w:val="18"/>
        <w:szCs w:val="18"/>
      </w:rPr>
      <w:t>, 20</w:t>
    </w:r>
    <w:r w:rsidR="009F5F56">
      <w:rPr>
        <w:rFonts w:ascii="Times New Roman" w:hAnsi="Times New Roman"/>
        <w:sz w:val="18"/>
        <w:szCs w:val="18"/>
      </w:rPr>
      <w:t>20</w:t>
    </w:r>
  </w:p>
  <w:p w:rsidR="00D3558C" w:rsidRPr="00605E19" w:rsidRDefault="00D3558C" w:rsidP="00605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63C" w:rsidRDefault="00A56A00" w:rsidP="0052363C">
    <w:pPr>
      <w:pStyle w:val="Header"/>
      <w:rPr>
        <w:rFonts w:ascii="Times New Roman" w:hAnsi="Times New Roman"/>
        <w:b/>
      </w:rPr>
    </w:pPr>
    <w:r>
      <w:rPr>
        <w:rFonts w:ascii="Times New Roman" w:hAnsi="Times New Roman"/>
        <w:b/>
      </w:rPr>
      <w:tab/>
    </w:r>
    <w:r>
      <w:rPr>
        <w:rFonts w:ascii="Times New Roman" w:hAnsi="Times New Roman"/>
        <w:b/>
      </w:rPr>
      <w:tab/>
    </w:r>
    <w:r w:rsidR="002B6EAE">
      <w:rPr>
        <w:rFonts w:ascii="Times New Roman" w:hAnsi="Times New Roman"/>
        <w:b/>
      </w:rPr>
      <w:t>Attachment A</w:t>
    </w:r>
    <w:r w:rsidR="00605E19">
      <w:rPr>
        <w:rFonts w:ascii="Times New Roman" w:hAnsi="Times New Roman"/>
        <w:b/>
      </w:rPr>
      <w:t xml:space="preserve"> – Special Terms and Conditions</w:t>
    </w:r>
  </w:p>
  <w:p w:rsidR="003661C0" w:rsidRDefault="00671F4D" w:rsidP="0052363C">
    <w:pPr>
      <w:pStyle w:val="Header"/>
      <w:ind w:left="5940"/>
      <w:rPr>
        <w:rFonts w:ascii="Times New Roman" w:hAnsi="Times New Roman"/>
        <w:b/>
      </w:rPr>
    </w:pPr>
    <w:r>
      <w:rPr>
        <w:rFonts w:ascii="Times New Roman" w:hAnsi="Times New Roman"/>
        <w:b/>
      </w:rPr>
      <w:t>Superintendent’s Memo #</w:t>
    </w:r>
    <w:r w:rsidR="00294629">
      <w:rPr>
        <w:rFonts w:ascii="Times New Roman" w:hAnsi="Times New Roman"/>
        <w:b/>
      </w:rPr>
      <w:t>156</w:t>
    </w:r>
    <w:r w:rsidR="00ED644E">
      <w:rPr>
        <w:rFonts w:ascii="Times New Roman" w:hAnsi="Times New Roman"/>
        <w:b/>
      </w:rPr>
      <w:t>-19</w:t>
    </w:r>
  </w:p>
  <w:p w:rsidR="00ED644E" w:rsidRPr="00D3558C" w:rsidRDefault="00ED644E" w:rsidP="0037454F">
    <w:pPr>
      <w:pStyle w:val="Header"/>
      <w:rPr>
        <w:rFonts w:ascii="Times New Roman" w:hAnsi="Times New Roman"/>
        <w:b/>
      </w:rPr>
    </w:pPr>
    <w:r>
      <w:rPr>
        <w:rFonts w:ascii="Times New Roman" w:hAnsi="Times New Roman"/>
        <w:b/>
      </w:rPr>
      <w:tab/>
    </w:r>
    <w:r>
      <w:rPr>
        <w:rFonts w:ascii="Times New Roman" w:hAnsi="Times New Roman"/>
        <w:b/>
      </w:rPr>
      <w:tab/>
      <w:t>July 12,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6"/>
  </w:num>
  <w:num w:numId="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2"/>
  </w:num>
  <w:num w:numId="7">
    <w:abstractNumId w:val="15"/>
  </w:num>
  <w:num w:numId="8">
    <w:abstractNumId w:val="14"/>
  </w:num>
  <w:num w:numId="9">
    <w:abstractNumId w:val="23"/>
  </w:num>
  <w:num w:numId="10">
    <w:abstractNumId w:val="16"/>
  </w:num>
  <w:num w:numId="11">
    <w:abstractNumId w:val="22"/>
  </w:num>
  <w:num w:numId="12">
    <w:abstractNumId w:val="22"/>
    <w:lvlOverride w:ilvl="0">
      <w:lvl w:ilvl="0">
        <w:start w:val="1"/>
        <w:numFmt w:val="decimal"/>
        <w:lvlText w:val="%1."/>
        <w:legacy w:legacy="1" w:legacySpace="0" w:legacyIndent="360"/>
        <w:lvlJc w:val="left"/>
        <w:pPr>
          <w:ind w:left="1800" w:hanging="360"/>
        </w:pPr>
      </w:lvl>
    </w:lvlOverride>
  </w:num>
  <w:num w:numId="13">
    <w:abstractNumId w:val="22"/>
    <w:lvlOverride w:ilvl="0">
      <w:lvl w:ilvl="0">
        <w:start w:val="1"/>
        <w:numFmt w:val="decimal"/>
        <w:lvlText w:val="%1."/>
        <w:legacy w:legacy="1" w:legacySpace="0" w:legacyIndent="360"/>
        <w:lvlJc w:val="left"/>
        <w:pPr>
          <w:ind w:left="2160" w:hanging="360"/>
        </w:pPr>
      </w:lvl>
    </w:lvlOverride>
  </w:num>
  <w:num w:numId="14">
    <w:abstractNumId w:val="22"/>
    <w:lvlOverride w:ilvl="0">
      <w:lvl w:ilvl="0">
        <w:start w:val="1"/>
        <w:numFmt w:val="decimal"/>
        <w:lvlText w:val="%1."/>
        <w:legacy w:legacy="1" w:legacySpace="0" w:legacyIndent="360"/>
        <w:lvlJc w:val="left"/>
        <w:pPr>
          <w:ind w:left="2520" w:hanging="360"/>
        </w:pPr>
      </w:lvl>
    </w:lvlOverride>
  </w:num>
  <w:num w:numId="15">
    <w:abstractNumId w:val="22"/>
    <w:lvlOverride w:ilvl="0">
      <w:lvl w:ilvl="0">
        <w:start w:val="1"/>
        <w:numFmt w:val="decimal"/>
        <w:lvlText w:val="%1."/>
        <w:legacy w:legacy="1" w:legacySpace="0" w:legacyIndent="360"/>
        <w:lvlJc w:val="left"/>
        <w:pPr>
          <w:ind w:left="2880" w:hanging="360"/>
        </w:pPr>
      </w:lvl>
    </w:lvlOverride>
  </w:num>
  <w:num w:numId="16">
    <w:abstractNumId w:val="7"/>
  </w:num>
  <w:num w:numId="17">
    <w:abstractNumId w:val="13"/>
    <w:lvlOverride w:ilvl="0">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24"/>
  </w:num>
  <w:num w:numId="23">
    <w:abstractNumId w:val="12"/>
  </w:num>
  <w:num w:numId="24">
    <w:abstractNumId w:val="17"/>
  </w:num>
  <w:num w:numId="25">
    <w:abstractNumId w:val="3"/>
  </w:num>
  <w:num w:numId="26">
    <w:abstractNumId w:val="10"/>
  </w:num>
  <w:num w:numId="27">
    <w:abstractNumId w:val="20"/>
  </w:num>
  <w:num w:numId="28">
    <w:abstractNumId w:val="11"/>
  </w:num>
  <w:num w:numId="29">
    <w:abstractNumId w:val="4"/>
  </w:num>
  <w:num w:numId="30">
    <w:abstractNumId w:val="19"/>
  </w:num>
  <w:num w:numId="31">
    <w:abstractNumId w:val="8"/>
  </w:num>
  <w:num w:numId="32">
    <w:abstractNumId w:val="18"/>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AE"/>
    <w:rsid w:val="0004784B"/>
    <w:rsid w:val="000624CA"/>
    <w:rsid w:val="000B2834"/>
    <w:rsid w:val="000C0778"/>
    <w:rsid w:val="000E6871"/>
    <w:rsid w:val="000F0DD7"/>
    <w:rsid w:val="000F2F7F"/>
    <w:rsid w:val="00124F9E"/>
    <w:rsid w:val="001466FC"/>
    <w:rsid w:val="002531AE"/>
    <w:rsid w:val="00270422"/>
    <w:rsid w:val="002768DB"/>
    <w:rsid w:val="00294629"/>
    <w:rsid w:val="002B6EAE"/>
    <w:rsid w:val="002D1FEC"/>
    <w:rsid w:val="00305182"/>
    <w:rsid w:val="00306669"/>
    <w:rsid w:val="0033593B"/>
    <w:rsid w:val="003661C0"/>
    <w:rsid w:val="00367D9B"/>
    <w:rsid w:val="00374446"/>
    <w:rsid w:val="0037454F"/>
    <w:rsid w:val="003D593A"/>
    <w:rsid w:val="003E6719"/>
    <w:rsid w:val="0043471C"/>
    <w:rsid w:val="00437A1B"/>
    <w:rsid w:val="004409D6"/>
    <w:rsid w:val="00457D17"/>
    <w:rsid w:val="004F3B84"/>
    <w:rsid w:val="0052363C"/>
    <w:rsid w:val="00553EA5"/>
    <w:rsid w:val="0055679D"/>
    <w:rsid w:val="005671CA"/>
    <w:rsid w:val="00586602"/>
    <w:rsid w:val="00587421"/>
    <w:rsid w:val="005F49FA"/>
    <w:rsid w:val="005F4CA7"/>
    <w:rsid w:val="00605E19"/>
    <w:rsid w:val="00632D26"/>
    <w:rsid w:val="006342CA"/>
    <w:rsid w:val="006413A2"/>
    <w:rsid w:val="00647227"/>
    <w:rsid w:val="006505A0"/>
    <w:rsid w:val="006609A6"/>
    <w:rsid w:val="00671F4D"/>
    <w:rsid w:val="00697B95"/>
    <w:rsid w:val="006E7CF7"/>
    <w:rsid w:val="006F7C87"/>
    <w:rsid w:val="007108D6"/>
    <w:rsid w:val="0071330B"/>
    <w:rsid w:val="0071719C"/>
    <w:rsid w:val="0074213A"/>
    <w:rsid w:val="007607F8"/>
    <w:rsid w:val="00766390"/>
    <w:rsid w:val="00773831"/>
    <w:rsid w:val="007C5A91"/>
    <w:rsid w:val="007F3017"/>
    <w:rsid w:val="0084494C"/>
    <w:rsid w:val="00851EB4"/>
    <w:rsid w:val="00870F39"/>
    <w:rsid w:val="00876F86"/>
    <w:rsid w:val="008B09C4"/>
    <w:rsid w:val="008E3E51"/>
    <w:rsid w:val="008F7211"/>
    <w:rsid w:val="009963CE"/>
    <w:rsid w:val="009A6B28"/>
    <w:rsid w:val="009D1E57"/>
    <w:rsid w:val="009D4714"/>
    <w:rsid w:val="009F5F56"/>
    <w:rsid w:val="009F7F7C"/>
    <w:rsid w:val="00A17BB4"/>
    <w:rsid w:val="00A320CB"/>
    <w:rsid w:val="00A56A00"/>
    <w:rsid w:val="00AA3462"/>
    <w:rsid w:val="00AE7411"/>
    <w:rsid w:val="00AF09C0"/>
    <w:rsid w:val="00AF64C7"/>
    <w:rsid w:val="00B15B0A"/>
    <w:rsid w:val="00B71789"/>
    <w:rsid w:val="00B74B7D"/>
    <w:rsid w:val="00B77CAA"/>
    <w:rsid w:val="00B83146"/>
    <w:rsid w:val="00B83205"/>
    <w:rsid w:val="00BD0B37"/>
    <w:rsid w:val="00BD4DA9"/>
    <w:rsid w:val="00BD6115"/>
    <w:rsid w:val="00C14D56"/>
    <w:rsid w:val="00C24AC8"/>
    <w:rsid w:val="00C24ED1"/>
    <w:rsid w:val="00C2798C"/>
    <w:rsid w:val="00C43390"/>
    <w:rsid w:val="00C56E99"/>
    <w:rsid w:val="00C647DF"/>
    <w:rsid w:val="00C919B6"/>
    <w:rsid w:val="00CF77B6"/>
    <w:rsid w:val="00D23BD8"/>
    <w:rsid w:val="00D3558C"/>
    <w:rsid w:val="00D4099E"/>
    <w:rsid w:val="00D479DA"/>
    <w:rsid w:val="00D50464"/>
    <w:rsid w:val="00D65A81"/>
    <w:rsid w:val="00D84E97"/>
    <w:rsid w:val="00DF5B25"/>
    <w:rsid w:val="00E14F19"/>
    <w:rsid w:val="00E32E81"/>
    <w:rsid w:val="00E439D2"/>
    <w:rsid w:val="00E57B8D"/>
    <w:rsid w:val="00E64F7E"/>
    <w:rsid w:val="00E71A21"/>
    <w:rsid w:val="00EB31CC"/>
    <w:rsid w:val="00EB7388"/>
    <w:rsid w:val="00EC5F3F"/>
    <w:rsid w:val="00EC6D74"/>
    <w:rsid w:val="00EC7139"/>
    <w:rsid w:val="00EC7924"/>
    <w:rsid w:val="00ED644E"/>
    <w:rsid w:val="00F0419A"/>
    <w:rsid w:val="00F1070B"/>
    <w:rsid w:val="00F23FDD"/>
    <w:rsid w:val="00F8730D"/>
    <w:rsid w:val="00F9247A"/>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2d2d2,#cdcdcd,#c8c8c8,#c1c1c1"/>
    </o:shapedefaults>
    <o:shapelayout v:ext="edit">
      <o:idmap v:ext="edit" data="1"/>
    </o:shapelayout>
  </w:shapeDefaults>
  <w:decimalSymbol w:val="."/>
  <w:listSeparator w:val=","/>
  <w15:docId w15:val="{4F26499D-15C4-4818-9FA8-89B22471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06EA3-36B7-4885-B425-D64AC2D40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Superintendent's Memo 261-20 Attachment A</vt:lpstr>
    </vt:vector>
  </TitlesOfParts>
  <Company>Virginia IT Infrastructure Partnership</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261-20 Attachment A</dc:title>
  <dc:creator>Virginia Department of Education</dc:creator>
  <cp:lastModifiedBy>Jennings, Laura (DOE)</cp:lastModifiedBy>
  <cp:revision>2</cp:revision>
  <cp:lastPrinted>2019-06-26T12:09:00Z</cp:lastPrinted>
  <dcterms:created xsi:type="dcterms:W3CDTF">2020-09-30T00:39:00Z</dcterms:created>
  <dcterms:modified xsi:type="dcterms:W3CDTF">2020-09-30T00:39:00Z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