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6D" w:rsidRPr="00A058B4" w:rsidRDefault="00034A6D" w:rsidP="00034A6D">
      <w:pPr>
        <w:pStyle w:val="Heading1"/>
      </w:pPr>
      <w:bookmarkStart w:id="0" w:name="_GoBack"/>
      <w:bookmarkEnd w:id="0"/>
      <w:r>
        <w:t>Relating the graphing of a line to solving an inequality - A</w:t>
      </w:r>
      <w:r w:rsidRPr="00A058B4">
        <w:t xml:space="preserve"> Co-</w:t>
      </w:r>
      <w:r w:rsidRPr="009341F0">
        <w:t>Teaching</w:t>
      </w:r>
      <w:r w:rsidRPr="00A058B4">
        <w:t xml:space="preserve"> Lesson Plan </w:t>
      </w:r>
    </w:p>
    <w:p w:rsidR="00034A6D" w:rsidRDefault="00034A6D" w:rsidP="00034A6D">
      <w:pPr>
        <w:jc w:val="both"/>
      </w:pPr>
    </w:p>
    <w:p w:rsidR="00034A6D" w:rsidRDefault="00034A6D" w:rsidP="00034A6D">
      <w:pPr>
        <w:jc w:val="both"/>
        <w:rPr>
          <w:b/>
        </w:rPr>
        <w:sectPr w:rsidR="00034A6D" w:rsidSect="00FD40AA">
          <w:footerReference w:type="default" r:id="rId9"/>
          <w:pgSz w:w="15840" w:h="12240" w:orient="landscape"/>
          <w:pgMar w:top="1440" w:right="1440" w:bottom="1440" w:left="1440" w:header="720" w:footer="720" w:gutter="0"/>
          <w:cols w:space="720"/>
          <w:noEndnote/>
          <w:docGrid w:linePitch="326"/>
        </w:sectPr>
      </w:pPr>
    </w:p>
    <w:p w:rsidR="00034A6D" w:rsidRDefault="00034A6D" w:rsidP="00034A6D">
      <w:pPr>
        <w:pStyle w:val="Heading2"/>
      </w:pPr>
      <w:r w:rsidRPr="003B4D66">
        <w:lastRenderedPageBreak/>
        <w:t>Co-Teaching Approach</w:t>
      </w:r>
      <w:r>
        <w:t xml:space="preserve">es </w:t>
      </w:r>
    </w:p>
    <w:p w:rsidR="00034A6D" w:rsidRDefault="00034A6D" w:rsidP="00034A6D">
      <w:r w:rsidRPr="00F14257">
        <w:t xml:space="preserve">A </w:t>
      </w:r>
      <w:r>
        <w:t>“</w:t>
      </w:r>
      <w:r w:rsidRPr="00F14257">
        <w:t>(</w:t>
      </w:r>
      <w:r>
        <w:t>Y</w:t>
      </w:r>
      <w:r w:rsidRPr="00F14257">
        <w:t>)</w:t>
      </w:r>
      <w:r>
        <w:t>”</w:t>
      </w:r>
      <w:r w:rsidR="00354A13">
        <w:t xml:space="preserve"> </w:t>
      </w:r>
      <w:r>
        <w:t xml:space="preserve">in front of the following list items </w:t>
      </w:r>
      <w:r w:rsidRPr="00F14257">
        <w:t xml:space="preserve">indicates the approach </w:t>
      </w:r>
      <w:r>
        <w:t>is outlined in the lesson. A</w:t>
      </w:r>
      <w:r w:rsidR="00354A13">
        <w:t xml:space="preserve">n </w:t>
      </w:r>
      <w:r>
        <w:t>“(N)”</w:t>
      </w:r>
      <w:r w:rsidR="00354A13">
        <w:t xml:space="preserve"> </w:t>
      </w:r>
      <w:r>
        <w:t>in front of the following list items indicates the approach is not outlined in the lesson.</w:t>
      </w:r>
    </w:p>
    <w:p w:rsidR="00034A6D" w:rsidRDefault="00034A6D" w:rsidP="00034A6D">
      <w:pPr>
        <w:sectPr w:rsidR="00034A6D" w:rsidSect="00FD40AA">
          <w:type w:val="continuous"/>
          <w:pgSz w:w="15840" w:h="12240" w:orient="landscape"/>
          <w:pgMar w:top="1440" w:right="1440" w:bottom="1440" w:left="1440" w:header="720" w:footer="720" w:gutter="0"/>
          <w:cols w:space="720"/>
          <w:noEndnote/>
          <w:docGrid w:linePitch="326"/>
        </w:sectPr>
      </w:pPr>
    </w:p>
    <w:p w:rsidR="00034A6D" w:rsidRPr="003B4D66" w:rsidRDefault="00034A6D" w:rsidP="00034A6D">
      <w:pPr>
        <w:pStyle w:val="ListParagraph"/>
        <w:numPr>
          <w:ilvl w:val="0"/>
          <w:numId w:val="8"/>
        </w:numPr>
      </w:pPr>
      <w:r>
        <w:lastRenderedPageBreak/>
        <w:t xml:space="preserve">(Y) </w:t>
      </w:r>
      <w:r w:rsidRPr="003B4D66">
        <w:t>Parallel Teach</w:t>
      </w:r>
      <w:r>
        <w:t>ing</w:t>
      </w:r>
    </w:p>
    <w:p w:rsidR="00034A6D" w:rsidRPr="003B4D66" w:rsidRDefault="00034A6D" w:rsidP="00034A6D">
      <w:pPr>
        <w:pStyle w:val="ListParagraph"/>
        <w:numPr>
          <w:ilvl w:val="0"/>
          <w:numId w:val="8"/>
        </w:numPr>
      </w:pPr>
      <w:r>
        <w:t>(Y) Team Teaching</w:t>
      </w:r>
    </w:p>
    <w:p w:rsidR="00034A6D" w:rsidRPr="00BA4F2C" w:rsidRDefault="00034A6D" w:rsidP="00034A6D">
      <w:pPr>
        <w:pStyle w:val="ListParagraph"/>
        <w:numPr>
          <w:ilvl w:val="0"/>
          <w:numId w:val="8"/>
        </w:numPr>
        <w:rPr>
          <w:b/>
        </w:rPr>
      </w:pPr>
      <w:r>
        <w:t xml:space="preserve">(N) </w:t>
      </w:r>
      <w:r w:rsidRPr="003B4D66">
        <w:t>Station Teach</w:t>
      </w:r>
      <w:r>
        <w:t>ing</w:t>
      </w:r>
    </w:p>
    <w:p w:rsidR="00034A6D" w:rsidRPr="003B4D66" w:rsidRDefault="00034A6D" w:rsidP="00034A6D">
      <w:pPr>
        <w:pStyle w:val="ListParagraph"/>
        <w:numPr>
          <w:ilvl w:val="0"/>
          <w:numId w:val="8"/>
        </w:numPr>
      </w:pPr>
      <w:r>
        <w:t>(N) One Teach/One Observe</w:t>
      </w:r>
    </w:p>
    <w:p w:rsidR="00034A6D" w:rsidRDefault="00034A6D" w:rsidP="00034A6D">
      <w:pPr>
        <w:pStyle w:val="ListParagraph"/>
        <w:numPr>
          <w:ilvl w:val="0"/>
          <w:numId w:val="8"/>
        </w:numPr>
      </w:pPr>
      <w:r>
        <w:t xml:space="preserve">(Y) </w:t>
      </w:r>
      <w:r w:rsidRPr="003B4D66">
        <w:t>Alternative Teach</w:t>
      </w:r>
      <w:r>
        <w:t>ing</w:t>
      </w:r>
    </w:p>
    <w:p w:rsidR="00034A6D" w:rsidRDefault="00034A6D" w:rsidP="00034A6D">
      <w:pPr>
        <w:pStyle w:val="ListParagraph"/>
        <w:numPr>
          <w:ilvl w:val="0"/>
          <w:numId w:val="8"/>
        </w:numPr>
      </w:pPr>
      <w:r>
        <w:t xml:space="preserve">(Y) </w:t>
      </w:r>
      <w:r w:rsidRPr="003B4D66">
        <w:t>One Teach</w:t>
      </w:r>
      <w:r>
        <w:t>/One Assist</w:t>
      </w:r>
      <w:r w:rsidRPr="003B4D66">
        <w:t xml:space="preserve"> </w:t>
      </w:r>
    </w:p>
    <w:p w:rsidR="00034A6D" w:rsidRDefault="00034A6D" w:rsidP="00034A6D">
      <w:pPr>
        <w:spacing w:after="240"/>
        <w:sectPr w:rsidR="00034A6D" w:rsidSect="00FD40AA">
          <w:type w:val="continuous"/>
          <w:pgSz w:w="15840" w:h="12240" w:orient="landscape"/>
          <w:pgMar w:top="1440" w:right="1440" w:bottom="1440" w:left="1440" w:header="720" w:footer="720" w:gutter="0"/>
          <w:cols w:num="3" w:space="720" w:equalWidth="0">
            <w:col w:w="9360" w:space="-1"/>
            <w:col w:w="-1" w:space="-1"/>
            <w:col w:w="-1"/>
          </w:cols>
          <w:noEndnote/>
          <w:docGrid w:linePitch="326"/>
        </w:sectPr>
      </w:pPr>
    </w:p>
    <w:p w:rsidR="00034A6D" w:rsidRPr="00FD40AA" w:rsidRDefault="00034A6D" w:rsidP="00034A6D">
      <w:pPr>
        <w:pStyle w:val="Heading2"/>
        <w:rPr>
          <w:sz w:val="24"/>
        </w:rPr>
      </w:pPr>
    </w:p>
    <w:p w:rsidR="00034A6D" w:rsidRPr="00A058B4" w:rsidRDefault="00034A6D" w:rsidP="00034A6D">
      <w:pPr>
        <w:pStyle w:val="Heading2"/>
      </w:pPr>
      <w:r w:rsidRPr="00A058B4">
        <w:t>Subject</w:t>
      </w:r>
    </w:p>
    <w:p w:rsidR="00034A6D" w:rsidRPr="003B4D66" w:rsidRDefault="00034A6D" w:rsidP="00034A6D">
      <w:r>
        <w:t xml:space="preserve">Algebra 1 </w:t>
      </w:r>
    </w:p>
    <w:p w:rsidR="00034A6D" w:rsidRPr="00A058B4" w:rsidRDefault="00034A6D" w:rsidP="00FD40AA">
      <w:pPr>
        <w:pStyle w:val="Heading2"/>
        <w:spacing w:before="240"/>
      </w:pPr>
      <w:r>
        <w:t>Strand/Reporting Category</w:t>
      </w:r>
    </w:p>
    <w:p w:rsidR="00034A6D" w:rsidRPr="003B4D66" w:rsidRDefault="00034A6D" w:rsidP="00034A6D">
      <w:r>
        <w:t>Equations and Inequalities</w:t>
      </w:r>
    </w:p>
    <w:p w:rsidR="00034A6D" w:rsidRDefault="00034A6D" w:rsidP="00034A6D">
      <w:pPr>
        <w:pStyle w:val="Heading2"/>
      </w:pPr>
    </w:p>
    <w:p w:rsidR="00034A6D" w:rsidRDefault="00034A6D" w:rsidP="00034A6D">
      <w:pPr>
        <w:pStyle w:val="Heading2"/>
      </w:pPr>
      <w:r>
        <w:t>Topic</w:t>
      </w:r>
    </w:p>
    <w:p w:rsidR="00034A6D" w:rsidRPr="003B4D66" w:rsidRDefault="00FD40AA" w:rsidP="00034A6D">
      <w:r>
        <w:t>Relating</w:t>
      </w:r>
      <w:r w:rsidR="00034A6D">
        <w:t xml:space="preserve"> the graphing of a line to solving an inequality in one variable</w:t>
      </w:r>
    </w:p>
    <w:p w:rsidR="00034A6D" w:rsidRDefault="00034A6D" w:rsidP="00FD40AA">
      <w:pPr>
        <w:pStyle w:val="Heading2"/>
        <w:spacing w:before="240"/>
      </w:pPr>
      <w:r>
        <w:t>S</w:t>
      </w:r>
      <w:r w:rsidR="005A6CBB">
        <w:t>OL</w:t>
      </w:r>
    </w:p>
    <w:p w:rsidR="005A6CBB" w:rsidRDefault="00034A6D" w:rsidP="00034A6D">
      <w:pPr>
        <w:rPr>
          <w:color w:val="000000"/>
        </w:rPr>
      </w:pPr>
      <w:r>
        <w:rPr>
          <w:color w:val="000000"/>
        </w:rPr>
        <w:t>A.5</w:t>
      </w:r>
      <w:r w:rsidR="005A6CBB">
        <w:rPr>
          <w:color w:val="000000"/>
        </w:rPr>
        <w:tab/>
      </w:r>
      <w:r>
        <w:rPr>
          <w:color w:val="000000"/>
        </w:rPr>
        <w:t xml:space="preserve">The student will </w:t>
      </w:r>
    </w:p>
    <w:p w:rsidR="00034A6D" w:rsidRPr="003B4D66" w:rsidRDefault="005A6CBB" w:rsidP="00FD40AA">
      <w:pPr>
        <w:tabs>
          <w:tab w:val="left" w:pos="1080"/>
        </w:tabs>
        <w:ind w:firstLine="720"/>
      </w:pPr>
      <w:r>
        <w:rPr>
          <w:color w:val="000000"/>
        </w:rPr>
        <w:t>b)</w:t>
      </w:r>
      <w:r>
        <w:rPr>
          <w:color w:val="000000"/>
        </w:rPr>
        <w:tab/>
      </w:r>
      <w:proofErr w:type="gramStart"/>
      <w:r w:rsidR="0084700C">
        <w:rPr>
          <w:color w:val="000000"/>
        </w:rPr>
        <w:t>represent</w:t>
      </w:r>
      <w:proofErr w:type="gramEnd"/>
      <w:r w:rsidR="0084700C">
        <w:rPr>
          <w:color w:val="000000"/>
        </w:rPr>
        <w:t xml:space="preserve"> the solution of linear inequalities in two variables graphically.</w:t>
      </w:r>
    </w:p>
    <w:p w:rsidR="00034A6D" w:rsidRDefault="00034A6D" w:rsidP="00FD40AA">
      <w:pPr>
        <w:pStyle w:val="Heading2"/>
        <w:spacing w:before="240"/>
      </w:pPr>
      <w:r>
        <w:t>Outcomes</w:t>
      </w:r>
    </w:p>
    <w:p w:rsidR="00034A6D" w:rsidRPr="003B4D66" w:rsidRDefault="00034A6D" w:rsidP="00034A6D">
      <w:pPr>
        <w:tabs>
          <w:tab w:val="left" w:pos="270"/>
        </w:tabs>
      </w:pPr>
      <w:r>
        <w:rPr>
          <w:color w:val="000000"/>
        </w:rPr>
        <w:t>Students will accurately solve and graph two variable inequalities on at least 5 attempts during classwork.</w:t>
      </w:r>
    </w:p>
    <w:p w:rsidR="00034A6D" w:rsidRDefault="00034A6D" w:rsidP="00FD40AA">
      <w:pPr>
        <w:pStyle w:val="Heading2"/>
        <w:spacing w:before="240"/>
      </w:pPr>
      <w:r>
        <w:t xml:space="preserve">Materials </w:t>
      </w:r>
    </w:p>
    <w:p w:rsidR="005A6CBB" w:rsidRPr="00C56023" w:rsidRDefault="005A6CBB" w:rsidP="005A6CBB">
      <w:pPr>
        <w:pStyle w:val="NormalWeb"/>
        <w:numPr>
          <w:ilvl w:val="0"/>
          <w:numId w:val="23"/>
        </w:numPr>
        <w:spacing w:before="0" w:beforeAutospacing="0" w:after="0" w:afterAutospacing="0"/>
      </w:pPr>
      <w:r>
        <w:rPr>
          <w:color w:val="000000"/>
        </w:rPr>
        <w:t>Scissors</w:t>
      </w:r>
    </w:p>
    <w:p w:rsidR="005A6CBB" w:rsidRPr="00C56023" w:rsidRDefault="005A6CBB" w:rsidP="005A6CBB">
      <w:pPr>
        <w:pStyle w:val="NormalWeb"/>
        <w:numPr>
          <w:ilvl w:val="0"/>
          <w:numId w:val="23"/>
        </w:numPr>
        <w:spacing w:before="0" w:beforeAutospacing="0" w:after="0" w:afterAutospacing="0"/>
      </w:pPr>
      <w:r>
        <w:rPr>
          <w:color w:val="000000"/>
        </w:rPr>
        <w:t>Graphing calculator (optional)</w:t>
      </w:r>
    </w:p>
    <w:p w:rsidR="005A6CBB" w:rsidRPr="00C56023" w:rsidRDefault="005A6CBB" w:rsidP="005A6CBB">
      <w:pPr>
        <w:pStyle w:val="NormalWeb"/>
        <w:numPr>
          <w:ilvl w:val="0"/>
          <w:numId w:val="23"/>
        </w:numPr>
        <w:spacing w:before="0" w:beforeAutospacing="0" w:after="0" w:afterAutospacing="0"/>
      </w:pPr>
      <w:r>
        <w:rPr>
          <w:color w:val="000000"/>
        </w:rPr>
        <w:t>Blank paper (optional)</w:t>
      </w:r>
    </w:p>
    <w:p w:rsidR="005A6CBB" w:rsidRDefault="005A6CBB" w:rsidP="005A6CBB">
      <w:pPr>
        <w:pStyle w:val="NormalWeb"/>
        <w:numPr>
          <w:ilvl w:val="0"/>
          <w:numId w:val="23"/>
        </w:numPr>
        <w:spacing w:before="0" w:beforeAutospacing="0" w:after="0" w:afterAutospacing="0"/>
      </w:pPr>
      <w:r>
        <w:rPr>
          <w:color w:val="000000"/>
        </w:rPr>
        <w:lastRenderedPageBreak/>
        <w:t>Glue or tape</w:t>
      </w:r>
    </w:p>
    <w:p w:rsidR="00034A6D" w:rsidRPr="00C56023" w:rsidRDefault="00034A6D" w:rsidP="00034A6D">
      <w:pPr>
        <w:pStyle w:val="NormalWeb"/>
        <w:numPr>
          <w:ilvl w:val="0"/>
          <w:numId w:val="23"/>
        </w:numPr>
        <w:spacing w:before="0" w:beforeAutospacing="0" w:after="0" w:afterAutospacing="0"/>
      </w:pPr>
      <w:r>
        <w:rPr>
          <w:color w:val="000000"/>
        </w:rPr>
        <w:t>Inequalities FRAME (attached)</w:t>
      </w:r>
    </w:p>
    <w:p w:rsidR="00034A6D" w:rsidRPr="00C56023" w:rsidRDefault="00034A6D" w:rsidP="00034A6D">
      <w:pPr>
        <w:pStyle w:val="NormalWeb"/>
        <w:numPr>
          <w:ilvl w:val="0"/>
          <w:numId w:val="23"/>
        </w:numPr>
        <w:spacing w:before="0" w:beforeAutospacing="0" w:after="0" w:afterAutospacing="0"/>
      </w:pPr>
      <w:r>
        <w:rPr>
          <w:color w:val="000000"/>
        </w:rPr>
        <w:t>Solving Inequalities in One and Two variables activity sheet (attached)</w:t>
      </w:r>
    </w:p>
    <w:p w:rsidR="00034A6D" w:rsidRPr="00C56023" w:rsidRDefault="00034A6D" w:rsidP="00034A6D">
      <w:pPr>
        <w:pStyle w:val="NormalWeb"/>
        <w:numPr>
          <w:ilvl w:val="0"/>
          <w:numId w:val="23"/>
        </w:numPr>
        <w:spacing w:before="0" w:beforeAutospacing="0" w:after="0" w:afterAutospacing="0"/>
      </w:pPr>
      <w:r>
        <w:rPr>
          <w:color w:val="000000"/>
        </w:rPr>
        <w:t>Solving inequalities puzzle (attached, pre-cut before using)</w:t>
      </w:r>
    </w:p>
    <w:p w:rsidR="00034A6D" w:rsidRDefault="00034A6D" w:rsidP="00FD40AA">
      <w:pPr>
        <w:pStyle w:val="Heading2"/>
        <w:spacing w:before="240"/>
      </w:pPr>
      <w:r w:rsidRPr="003B4D66">
        <w:t>Vocab</w:t>
      </w:r>
      <w:r>
        <w:t>ulary</w:t>
      </w:r>
    </w:p>
    <w:p w:rsidR="00034A6D" w:rsidRDefault="00034A6D" w:rsidP="00034A6D">
      <w:pPr>
        <w:pStyle w:val="ListParagraph"/>
        <w:numPr>
          <w:ilvl w:val="0"/>
          <w:numId w:val="9"/>
        </w:numPr>
        <w:sectPr w:rsidR="00034A6D" w:rsidSect="00FD40AA">
          <w:type w:val="continuous"/>
          <w:pgSz w:w="15840" w:h="12240" w:orient="landscape"/>
          <w:pgMar w:top="1440" w:right="1440" w:bottom="1440" w:left="1440" w:header="720" w:footer="720" w:gutter="0"/>
          <w:cols w:space="720"/>
          <w:noEndnote/>
          <w:docGrid w:linePitch="326"/>
        </w:sectPr>
      </w:pPr>
    </w:p>
    <w:p w:rsidR="000A0948" w:rsidRPr="00FD40AA" w:rsidRDefault="000A0948" w:rsidP="00FD40AA">
      <w:pPr>
        <w:pStyle w:val="ListParagraph"/>
        <w:widowControl/>
        <w:spacing w:after="200" w:line="276" w:lineRule="auto"/>
        <w:ind w:left="360"/>
        <w:rPr>
          <w:i/>
        </w:rPr>
      </w:pPr>
      <w:proofErr w:type="gramStart"/>
      <w:r w:rsidRPr="00FD40AA">
        <w:rPr>
          <w:i/>
          <w:color w:val="000000"/>
        </w:rPr>
        <w:t>boundary</w:t>
      </w:r>
      <w:proofErr w:type="gramEnd"/>
      <w:r w:rsidRPr="00FD40AA">
        <w:rPr>
          <w:i/>
          <w:color w:val="000000"/>
        </w:rPr>
        <w:t>, closed point, dashed line, open point, solid line</w:t>
      </w:r>
    </w:p>
    <w:p w:rsidR="001451D0" w:rsidRPr="00720A4E" w:rsidRDefault="001451D0" w:rsidP="001451D0"/>
    <w:p w:rsidR="00B67FBF" w:rsidRPr="00720A4E" w:rsidRDefault="00B67FBF" w:rsidP="001451D0">
      <w:pPr>
        <w:rPr>
          <w:sz w:val="28"/>
          <w:szCs w:val="28"/>
        </w:rPr>
        <w:sectPr w:rsidR="00B67FBF" w:rsidRPr="00720A4E" w:rsidSect="00FD40AA">
          <w:footerReference w:type="default" r:id="rId10"/>
          <w:type w:val="continuous"/>
          <w:pgSz w:w="15840" w:h="12240" w:orient="landscape"/>
          <w:pgMar w:top="1440" w:right="1440" w:bottom="1440" w:left="1440" w:header="720" w:footer="720" w:gutter="0"/>
          <w:cols w:space="720"/>
          <w:noEndnote/>
          <w:docGrid w:linePitch="326"/>
        </w:sectPr>
      </w:pPr>
    </w:p>
    <w:p w:rsidR="00867493" w:rsidRDefault="00720A4E" w:rsidP="00FD40AA">
      <w:pPr>
        <w:pStyle w:val="Heading2"/>
      </w:pPr>
      <w:r>
        <w:t>Co-T</w:t>
      </w:r>
      <w:r w:rsidR="00B22882">
        <w:t>eacher Actions</w:t>
      </w:r>
    </w:p>
    <w:tbl>
      <w:tblPr>
        <w:tblStyle w:val="TableGrid"/>
        <w:tblW w:w="12870" w:type="dxa"/>
        <w:tblInd w:w="85" w:type="dxa"/>
        <w:tblLayout w:type="fixed"/>
        <w:tblLook w:val="04A0" w:firstRow="1" w:lastRow="0" w:firstColumn="1" w:lastColumn="0" w:noHBand="0" w:noVBand="1"/>
        <w:tblCaption w:val="Lesson Plan"/>
        <w:tblDescription w:val="This table describes the role of the general educator and the special educator throughout the lesson."/>
      </w:tblPr>
      <w:tblGrid>
        <w:gridCol w:w="2003"/>
        <w:gridCol w:w="2340"/>
        <w:gridCol w:w="4320"/>
        <w:gridCol w:w="4207"/>
      </w:tblGrid>
      <w:tr w:rsidR="00FF546C" w:rsidTr="00FD40AA">
        <w:trPr>
          <w:tblHeader/>
        </w:trPr>
        <w:tc>
          <w:tcPr>
            <w:tcW w:w="2003" w:type="dxa"/>
          </w:tcPr>
          <w:p w:rsidR="00FF546C" w:rsidRPr="00FF546C" w:rsidRDefault="00FF546C" w:rsidP="00FF546C">
            <w:pPr>
              <w:rPr>
                <w:b/>
              </w:rPr>
            </w:pPr>
            <w:r w:rsidRPr="00FF546C">
              <w:rPr>
                <w:b/>
              </w:rPr>
              <w:t>Lesson Component</w:t>
            </w:r>
          </w:p>
        </w:tc>
        <w:tc>
          <w:tcPr>
            <w:tcW w:w="2340" w:type="dxa"/>
          </w:tcPr>
          <w:p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20" w:type="dxa"/>
          </w:tcPr>
          <w:p w:rsidR="00FF546C" w:rsidRPr="00FF546C" w:rsidRDefault="001451D0" w:rsidP="00FD40AA">
            <w:pPr>
              <w:spacing w:before="120"/>
              <w:rPr>
                <w:b/>
              </w:rPr>
            </w:pPr>
            <w:r>
              <w:rPr>
                <w:b/>
              </w:rPr>
              <w:t>General Educator</w:t>
            </w:r>
            <w:r w:rsidR="008F07A5">
              <w:rPr>
                <w:b/>
              </w:rPr>
              <w:t xml:space="preserve"> (GE)</w:t>
            </w:r>
          </w:p>
        </w:tc>
        <w:tc>
          <w:tcPr>
            <w:tcW w:w="4207" w:type="dxa"/>
          </w:tcPr>
          <w:p w:rsidR="00FF546C" w:rsidRPr="00FF546C" w:rsidRDefault="001451D0" w:rsidP="00FD40AA">
            <w:pPr>
              <w:spacing w:before="120"/>
              <w:rPr>
                <w:b/>
              </w:rPr>
            </w:pPr>
            <w:r>
              <w:rPr>
                <w:b/>
              </w:rPr>
              <w:t>Special Educator</w:t>
            </w:r>
            <w:r w:rsidR="008F07A5">
              <w:rPr>
                <w:b/>
              </w:rPr>
              <w:t xml:space="preserve"> (SE)</w:t>
            </w:r>
          </w:p>
        </w:tc>
      </w:tr>
      <w:tr w:rsidR="002645C4" w:rsidTr="00FD40AA">
        <w:tc>
          <w:tcPr>
            <w:tcW w:w="2003" w:type="dxa"/>
          </w:tcPr>
          <w:p w:rsidR="002645C4" w:rsidRPr="009065CE" w:rsidRDefault="002645C4" w:rsidP="00FF546C">
            <w:pPr>
              <w:rPr>
                <w:b/>
              </w:rPr>
            </w:pPr>
            <w:r w:rsidRPr="009065CE">
              <w:rPr>
                <w:b/>
              </w:rPr>
              <w:t>Anticipatory Set</w:t>
            </w:r>
          </w:p>
        </w:tc>
        <w:tc>
          <w:tcPr>
            <w:tcW w:w="2340" w:type="dxa"/>
          </w:tcPr>
          <w:p w:rsidR="002645C4" w:rsidRPr="009065CE" w:rsidRDefault="00207F40">
            <w:r>
              <w:t>One teach</w:t>
            </w:r>
            <w:r w:rsidR="0034512D">
              <w:t>/O</w:t>
            </w:r>
            <w:r>
              <w:t>ne assist</w:t>
            </w:r>
            <w:r w:rsidR="002645C4">
              <w:t xml:space="preserve"> </w:t>
            </w:r>
          </w:p>
        </w:tc>
        <w:tc>
          <w:tcPr>
            <w:tcW w:w="4320" w:type="dxa"/>
          </w:tcPr>
          <w:p w:rsidR="0034512D" w:rsidRDefault="0034512D" w:rsidP="0034512D">
            <w:pPr>
              <w:pStyle w:val="NormalWeb"/>
              <w:spacing w:before="120" w:beforeAutospacing="0" w:after="0" w:afterAutospacing="0"/>
              <w:rPr>
                <w:color w:val="000000"/>
              </w:rPr>
            </w:pPr>
            <w:r>
              <w:rPr>
                <w:color w:val="000000"/>
              </w:rPr>
              <w:t xml:space="preserve">GE places warm-up questions on the board or gives to students for a review of slope intercept equations. </w:t>
            </w:r>
          </w:p>
          <w:p w:rsidR="0034512D" w:rsidRDefault="0034512D" w:rsidP="0034512D">
            <w:pPr>
              <w:pStyle w:val="NormalWeb"/>
              <w:spacing w:before="120" w:beforeAutospacing="0" w:after="0" w:afterAutospacing="0"/>
              <w:rPr>
                <w:color w:val="000000"/>
              </w:rPr>
            </w:pPr>
            <w:r>
              <w:rPr>
                <w:color w:val="000000"/>
              </w:rPr>
              <w:t xml:space="preserve">GE introduces the questions for students to complete independently. Once students complete the questions, the GE reviews answers with the class. </w:t>
            </w:r>
          </w:p>
          <w:p w:rsidR="0034512D" w:rsidRPr="00C17829" w:rsidRDefault="0034512D" w:rsidP="0034512D">
            <w:pPr>
              <w:pStyle w:val="NormalWeb"/>
              <w:spacing w:before="120" w:beforeAutospacing="0" w:after="0" w:afterAutospacing="0"/>
              <w:rPr>
                <w:b/>
              </w:rPr>
            </w:pPr>
            <w:r w:rsidRPr="00C17829">
              <w:rPr>
                <w:b/>
                <w:color w:val="000000"/>
              </w:rPr>
              <w:t>Questions</w:t>
            </w:r>
          </w:p>
          <w:p w:rsidR="0034512D" w:rsidRDefault="0034512D" w:rsidP="0034512D">
            <w:pPr>
              <w:pStyle w:val="NormalWeb"/>
              <w:spacing w:before="120" w:beforeAutospacing="0" w:after="0" w:afterAutospacing="0"/>
            </w:pPr>
            <w:r>
              <w:rPr>
                <w:color w:val="000000"/>
              </w:rPr>
              <w:t>Identify the slope and y-intercept of the following equations:</w:t>
            </w:r>
          </w:p>
          <w:p w:rsidR="0034512D" w:rsidRDefault="0034512D" w:rsidP="0034512D">
            <w:pPr>
              <w:pStyle w:val="NormalWeb"/>
              <w:numPr>
                <w:ilvl w:val="0"/>
                <w:numId w:val="24"/>
              </w:numPr>
              <w:spacing w:before="120" w:beforeAutospacing="0" w:after="0" w:afterAutospacing="0"/>
              <w:jc w:val="both"/>
              <w:textAlignment w:val="baseline"/>
              <w:rPr>
                <w:color w:val="000000"/>
              </w:rPr>
            </w:pPr>
            <w:r>
              <w:rPr>
                <w:color w:val="000000"/>
              </w:rPr>
              <w:t>y=1/2x+3 (m=½, b=3)</w:t>
            </w:r>
          </w:p>
          <w:p w:rsidR="0034512D" w:rsidRDefault="0034512D" w:rsidP="0034512D">
            <w:pPr>
              <w:pStyle w:val="NormalWeb"/>
              <w:numPr>
                <w:ilvl w:val="0"/>
                <w:numId w:val="24"/>
              </w:numPr>
              <w:spacing w:before="120" w:beforeAutospacing="0" w:after="0" w:afterAutospacing="0"/>
              <w:jc w:val="both"/>
              <w:textAlignment w:val="baseline"/>
              <w:rPr>
                <w:color w:val="000000"/>
              </w:rPr>
            </w:pPr>
            <w:r>
              <w:rPr>
                <w:color w:val="000000"/>
              </w:rPr>
              <w:t>y=x-2 (m=1, b=-2)</w:t>
            </w:r>
          </w:p>
          <w:p w:rsidR="002645C4" w:rsidRPr="00207F40" w:rsidRDefault="0034512D" w:rsidP="00FD40AA">
            <w:pPr>
              <w:pStyle w:val="NormalWeb"/>
              <w:numPr>
                <w:ilvl w:val="0"/>
                <w:numId w:val="24"/>
              </w:numPr>
              <w:spacing w:before="120" w:beforeAutospacing="0" w:after="0" w:afterAutospacing="0"/>
              <w:jc w:val="both"/>
              <w:textAlignment w:val="baseline"/>
              <w:rPr>
                <w:color w:val="000000"/>
              </w:rPr>
            </w:pPr>
            <w:r>
              <w:rPr>
                <w:color w:val="000000"/>
              </w:rPr>
              <w:t>3x-9y=18 (m=⅓, b=-2)</w:t>
            </w:r>
          </w:p>
        </w:tc>
        <w:tc>
          <w:tcPr>
            <w:tcW w:w="4207" w:type="dxa"/>
          </w:tcPr>
          <w:p w:rsidR="0034512D" w:rsidRDefault="0034512D" w:rsidP="0034512D">
            <w:pPr>
              <w:spacing w:before="120"/>
              <w:rPr>
                <w:color w:val="000000"/>
              </w:rPr>
            </w:pPr>
            <w:r>
              <w:rPr>
                <w:color w:val="000000"/>
              </w:rPr>
              <w:t xml:space="preserve">SE begins class by checking in with students with disabilities (SWD) to check for organization and ensure that students are prepared and able to start with the warm-up. </w:t>
            </w:r>
          </w:p>
          <w:p w:rsidR="0034512D" w:rsidRDefault="0034512D" w:rsidP="0034512D">
            <w:pPr>
              <w:spacing w:before="120"/>
              <w:rPr>
                <w:color w:val="000000"/>
              </w:rPr>
            </w:pPr>
            <w:r>
              <w:rPr>
                <w:color w:val="000000"/>
              </w:rPr>
              <w:t xml:space="preserve">As needed, SE transcribes or reads the warm-up to students. </w:t>
            </w:r>
          </w:p>
          <w:p w:rsidR="0034512D" w:rsidRDefault="0034512D" w:rsidP="0034512D">
            <w:pPr>
              <w:spacing w:before="120"/>
              <w:rPr>
                <w:color w:val="000000"/>
              </w:rPr>
            </w:pPr>
            <w:r>
              <w:rPr>
                <w:color w:val="000000"/>
              </w:rPr>
              <w:t>SE reminds students of the equation of y=</w:t>
            </w:r>
            <w:proofErr w:type="spellStart"/>
            <w:r>
              <w:rPr>
                <w:color w:val="000000"/>
              </w:rPr>
              <w:t>mx+b</w:t>
            </w:r>
            <w:proofErr w:type="spellEnd"/>
            <w:r>
              <w:rPr>
                <w:color w:val="000000"/>
              </w:rPr>
              <w:t xml:space="preserve"> and that m is the slope and b is the y-intercept. </w:t>
            </w:r>
          </w:p>
          <w:p w:rsidR="002645C4" w:rsidRPr="00E40032" w:rsidRDefault="0034512D" w:rsidP="00FD40AA">
            <w:pPr>
              <w:spacing w:before="120"/>
              <w:rPr>
                <w:rFonts w:asciiTheme="minorHAnsi" w:hAnsiTheme="minorHAnsi" w:cstheme="minorHAnsi"/>
              </w:rPr>
            </w:pPr>
            <w:r>
              <w:rPr>
                <w:color w:val="000000"/>
              </w:rPr>
              <w:t>SE provides a visual reminder of the equation for students when necessary.</w:t>
            </w:r>
          </w:p>
        </w:tc>
      </w:tr>
      <w:tr w:rsidR="002645C4" w:rsidTr="00FD40AA">
        <w:tc>
          <w:tcPr>
            <w:tcW w:w="2003" w:type="dxa"/>
          </w:tcPr>
          <w:p w:rsidR="002645C4" w:rsidRPr="009065CE" w:rsidRDefault="002645C4" w:rsidP="00FF546C">
            <w:pPr>
              <w:rPr>
                <w:b/>
              </w:rPr>
            </w:pPr>
            <w:r w:rsidRPr="009065CE">
              <w:rPr>
                <w:b/>
              </w:rPr>
              <w:t>Lesson Activities/</w:t>
            </w:r>
            <w:r>
              <w:rPr>
                <w:b/>
              </w:rPr>
              <w:t xml:space="preserve"> </w:t>
            </w:r>
            <w:r w:rsidRPr="009065CE">
              <w:rPr>
                <w:b/>
              </w:rPr>
              <w:t>Procedures</w:t>
            </w:r>
          </w:p>
        </w:tc>
        <w:tc>
          <w:tcPr>
            <w:tcW w:w="2340" w:type="dxa"/>
          </w:tcPr>
          <w:p w:rsidR="002645C4" w:rsidRPr="00885417" w:rsidRDefault="00C742DB" w:rsidP="00500BAA">
            <w:r>
              <w:t>Parallel teaching</w:t>
            </w:r>
          </w:p>
        </w:tc>
        <w:tc>
          <w:tcPr>
            <w:tcW w:w="4320" w:type="dxa"/>
          </w:tcPr>
          <w:p w:rsidR="0034512D" w:rsidRDefault="0034512D" w:rsidP="0034512D">
            <w:pPr>
              <w:pStyle w:val="NormalWeb"/>
              <w:spacing w:before="120" w:beforeAutospacing="0" w:after="0" w:afterAutospacing="0"/>
            </w:pPr>
            <w:r>
              <w:rPr>
                <w:color w:val="000000"/>
              </w:rPr>
              <w:t xml:space="preserve">GE creates groups based on ability level. GE works with students who have previously demonstrated understanding on inequalities in the same classroom as SE. </w:t>
            </w:r>
          </w:p>
          <w:p w:rsidR="0034512D" w:rsidRDefault="0034512D" w:rsidP="0034512D">
            <w:pPr>
              <w:pStyle w:val="NormalWeb"/>
              <w:spacing w:before="120" w:beforeAutospacing="0" w:after="0" w:afterAutospacing="0"/>
              <w:rPr>
                <w:color w:val="000000"/>
              </w:rPr>
            </w:pPr>
            <w:r>
              <w:rPr>
                <w:color w:val="000000"/>
              </w:rPr>
              <w:t>Teachers review the four inequality symbols and what they represent when solving and graphing both one and two variable inequalities using the frame organizer (or similar graphic organizer if teachers are not trained in the frame routine).</w:t>
            </w:r>
          </w:p>
          <w:p w:rsidR="0034512D" w:rsidRDefault="0034512D" w:rsidP="0034512D">
            <w:pPr>
              <w:pStyle w:val="NormalWeb"/>
              <w:spacing w:before="120" w:beforeAutospacing="0" w:after="0" w:afterAutospacing="0"/>
              <w:rPr>
                <w:color w:val="000000"/>
              </w:rPr>
            </w:pPr>
            <w:r>
              <w:rPr>
                <w:color w:val="000000"/>
              </w:rPr>
              <w:t>GE works with students to co-construct the frame organizer, providing the students with the topic to go in the key topic box and working with the students to create a sentence that explains what inequalities are. (Refer to the completed example.)</w:t>
            </w:r>
          </w:p>
          <w:p w:rsidR="0034512D" w:rsidRPr="00C17829" w:rsidRDefault="0034512D" w:rsidP="0034512D">
            <w:pPr>
              <w:pStyle w:val="NormalWeb"/>
              <w:spacing w:before="120" w:beforeAutospacing="0" w:after="0" w:afterAutospacing="0"/>
              <w:rPr>
                <w:b/>
                <w:color w:val="000000"/>
              </w:rPr>
            </w:pPr>
            <w:r w:rsidRPr="00C17829">
              <w:rPr>
                <w:b/>
                <w:color w:val="000000"/>
              </w:rPr>
              <w:t>Graphic Organizer</w:t>
            </w:r>
          </w:p>
          <w:p w:rsidR="0034512D" w:rsidRDefault="0034512D" w:rsidP="0034512D">
            <w:pPr>
              <w:pStyle w:val="NormalWeb"/>
              <w:spacing w:before="120" w:beforeAutospacing="0" w:after="0" w:afterAutospacing="0"/>
              <w:rPr>
                <w:color w:val="000000"/>
              </w:rPr>
            </w:pPr>
            <w:r>
              <w:rPr>
                <w:color w:val="000000"/>
              </w:rPr>
              <w:t xml:space="preserve">Each of the four columns are titled with an inequality symbol and the words that represent the symbol. </w:t>
            </w:r>
          </w:p>
          <w:p w:rsidR="0034512D" w:rsidRDefault="0034512D" w:rsidP="0034512D">
            <w:pPr>
              <w:pStyle w:val="NormalWeb"/>
              <w:spacing w:before="120" w:beforeAutospacing="0" w:after="0" w:afterAutospacing="0"/>
              <w:rPr>
                <w:color w:val="000000"/>
              </w:rPr>
            </w:pPr>
            <w:r>
              <w:rPr>
                <w:color w:val="000000"/>
              </w:rPr>
              <w:t xml:space="preserve">The first row across is a reminder of how to graph each symbol with one variable, while the second row provides an example of each type of inequality graphed. </w:t>
            </w:r>
          </w:p>
          <w:p w:rsidR="0034512D" w:rsidRDefault="0034512D" w:rsidP="0034512D">
            <w:pPr>
              <w:pStyle w:val="NormalWeb"/>
              <w:spacing w:before="120" w:beforeAutospacing="0" w:after="0" w:afterAutospacing="0"/>
              <w:rPr>
                <w:color w:val="000000"/>
              </w:rPr>
            </w:pPr>
            <w:r>
              <w:rPr>
                <w:color w:val="000000"/>
              </w:rPr>
              <w:t xml:space="preserve">The third row provides a reminder of how to graph a two variable inequality, while the final row shows an example with shading and solid versus dotted lines. </w:t>
            </w:r>
          </w:p>
          <w:p w:rsidR="0034512D" w:rsidRDefault="0034512D" w:rsidP="0034512D">
            <w:pPr>
              <w:pStyle w:val="NormalWeb"/>
              <w:spacing w:before="120" w:beforeAutospacing="0" w:after="0" w:afterAutospacing="0"/>
              <w:rPr>
                <w:color w:val="000000"/>
              </w:rPr>
            </w:pPr>
            <w:r>
              <w:rPr>
                <w:color w:val="000000"/>
              </w:rPr>
              <w:t xml:space="preserve">Review how to graph each symbol both ways before moving on to the next symbol. </w:t>
            </w:r>
          </w:p>
          <w:p w:rsidR="002645C4" w:rsidRPr="009065CE" w:rsidRDefault="0034512D" w:rsidP="00FD40AA">
            <w:pPr>
              <w:spacing w:before="120"/>
            </w:pPr>
            <w:r>
              <w:rPr>
                <w:color w:val="000000"/>
              </w:rPr>
              <w:t xml:space="preserve">The students can create their own examples to graph in the 2nd and 4th rows. As a class, create a statement that summarizes what is important to remember about graphing inequalities in the So what? </w:t>
            </w:r>
            <w:proofErr w:type="gramStart"/>
            <w:r>
              <w:rPr>
                <w:color w:val="000000"/>
              </w:rPr>
              <w:t>box</w:t>
            </w:r>
            <w:proofErr w:type="gramEnd"/>
            <w:r>
              <w:rPr>
                <w:color w:val="000000"/>
              </w:rPr>
              <w:t xml:space="preserve"> at the bottom.</w:t>
            </w:r>
          </w:p>
        </w:tc>
        <w:tc>
          <w:tcPr>
            <w:tcW w:w="4207" w:type="dxa"/>
          </w:tcPr>
          <w:p w:rsidR="0034512D" w:rsidRDefault="0034512D" w:rsidP="0034512D">
            <w:pPr>
              <w:pStyle w:val="NormalWeb"/>
              <w:spacing w:before="120" w:beforeAutospacing="0" w:after="0" w:afterAutospacing="0"/>
            </w:pPr>
            <w:r>
              <w:rPr>
                <w:color w:val="000000"/>
              </w:rPr>
              <w:t>GE creates groups based on ability level. SE works with students who have shown difficulty when solving inequalities, in the same classroom as GE.</w:t>
            </w:r>
          </w:p>
          <w:p w:rsidR="0034512D" w:rsidRDefault="0034512D" w:rsidP="0034512D">
            <w:pPr>
              <w:pStyle w:val="NormalWeb"/>
              <w:spacing w:before="120" w:beforeAutospacing="0" w:after="0" w:afterAutospacing="0"/>
              <w:rPr>
                <w:color w:val="000000"/>
              </w:rPr>
            </w:pPr>
            <w:r>
              <w:rPr>
                <w:color w:val="000000"/>
              </w:rPr>
              <w:t>Teachers review the four inequality symbols and what they represent when solving and graphing both one and two variable inequalities using the frame organizer (or similar graphic organizer if teachers are not trained in the frame routine).</w:t>
            </w:r>
          </w:p>
          <w:p w:rsidR="0034512D" w:rsidRDefault="0034512D" w:rsidP="0034512D">
            <w:pPr>
              <w:pStyle w:val="NormalWeb"/>
              <w:spacing w:before="120" w:beforeAutospacing="0" w:after="0" w:afterAutospacing="0"/>
            </w:pPr>
            <w:r>
              <w:rPr>
                <w:color w:val="000000"/>
              </w:rPr>
              <w:t>The SE provides a frame that has part or all of the information already provided for certain students (read accommodations below to see options).</w:t>
            </w:r>
          </w:p>
          <w:p w:rsidR="0034512D" w:rsidRDefault="0034512D" w:rsidP="0034512D">
            <w:pPr>
              <w:pStyle w:val="NormalWeb"/>
              <w:spacing w:before="120" w:beforeAutospacing="0" w:after="0" w:afterAutospacing="0"/>
              <w:rPr>
                <w:color w:val="000000"/>
              </w:rPr>
            </w:pPr>
            <w:r>
              <w:rPr>
                <w:color w:val="000000"/>
              </w:rPr>
              <w:t xml:space="preserve">Provide the students with the topic to go in the key topic box and work with the students to create a sentence that explains what inequalities are. (Refer to the completed example.) </w:t>
            </w:r>
          </w:p>
          <w:p w:rsidR="0034512D" w:rsidRPr="006B1A55" w:rsidRDefault="0034512D" w:rsidP="0034512D">
            <w:pPr>
              <w:pStyle w:val="NormalWeb"/>
              <w:spacing w:before="120" w:beforeAutospacing="0" w:after="0" w:afterAutospacing="0"/>
              <w:rPr>
                <w:b/>
                <w:color w:val="000000"/>
              </w:rPr>
            </w:pPr>
            <w:r w:rsidRPr="006B1A55">
              <w:rPr>
                <w:b/>
                <w:color w:val="000000"/>
              </w:rPr>
              <w:t>Graphic Organizer</w:t>
            </w:r>
          </w:p>
          <w:p w:rsidR="0034512D" w:rsidRDefault="0034512D" w:rsidP="0034512D">
            <w:pPr>
              <w:pStyle w:val="NormalWeb"/>
              <w:spacing w:before="120" w:beforeAutospacing="0" w:after="0" w:afterAutospacing="0"/>
              <w:rPr>
                <w:color w:val="000000"/>
              </w:rPr>
            </w:pPr>
            <w:r>
              <w:rPr>
                <w:color w:val="000000"/>
              </w:rPr>
              <w:t xml:space="preserve">Each of the four columns are titled with an inequality symbol and the words that represent the symbol. </w:t>
            </w:r>
          </w:p>
          <w:p w:rsidR="0034512D" w:rsidRDefault="0034512D" w:rsidP="0034512D">
            <w:pPr>
              <w:pStyle w:val="NormalWeb"/>
              <w:spacing w:before="120" w:beforeAutospacing="0" w:after="0" w:afterAutospacing="0"/>
              <w:rPr>
                <w:color w:val="000000"/>
              </w:rPr>
            </w:pPr>
            <w:r>
              <w:rPr>
                <w:color w:val="000000"/>
              </w:rPr>
              <w:t xml:space="preserve">The first row across is a reminder of how to graph each symbol with one variable while the second row provides an example of each type of inequality graphed. </w:t>
            </w:r>
          </w:p>
          <w:p w:rsidR="0034512D" w:rsidRDefault="0034512D" w:rsidP="0034512D">
            <w:pPr>
              <w:pStyle w:val="NormalWeb"/>
              <w:spacing w:before="120" w:beforeAutospacing="0" w:after="0" w:afterAutospacing="0"/>
              <w:rPr>
                <w:color w:val="000000"/>
              </w:rPr>
            </w:pPr>
            <w:r>
              <w:rPr>
                <w:color w:val="000000"/>
              </w:rPr>
              <w:t xml:space="preserve">The third row provides a reminder of how to graph a two variable inequality, while the final row will show an example with shading and solid versus dotted lines. </w:t>
            </w:r>
          </w:p>
          <w:p w:rsidR="0034512D" w:rsidRDefault="0034512D" w:rsidP="0034512D">
            <w:pPr>
              <w:pStyle w:val="NormalWeb"/>
              <w:spacing w:before="120" w:beforeAutospacing="0" w:after="0" w:afterAutospacing="0"/>
              <w:rPr>
                <w:color w:val="000000"/>
              </w:rPr>
            </w:pPr>
            <w:r>
              <w:rPr>
                <w:color w:val="000000"/>
              </w:rPr>
              <w:t xml:space="preserve">Review how to graph each symbol both ways before moving on to the next symbol. </w:t>
            </w:r>
          </w:p>
          <w:p w:rsidR="002645C4" w:rsidRPr="009065CE" w:rsidRDefault="0034512D" w:rsidP="00FD40AA">
            <w:pPr>
              <w:spacing w:before="120"/>
            </w:pPr>
            <w:r>
              <w:rPr>
                <w:color w:val="000000"/>
              </w:rPr>
              <w:t xml:space="preserve">Provide examples for each of the graph boxes. Work with the students to determine what they found to be important to remember and create a statement that summarizes what is important to remember about graphing inequalities in the So what? </w:t>
            </w:r>
            <w:proofErr w:type="gramStart"/>
            <w:r>
              <w:rPr>
                <w:color w:val="000000"/>
              </w:rPr>
              <w:t>box</w:t>
            </w:r>
            <w:proofErr w:type="gramEnd"/>
            <w:r>
              <w:rPr>
                <w:color w:val="000000"/>
              </w:rPr>
              <w:t xml:space="preserve"> at the bottom.</w:t>
            </w:r>
          </w:p>
        </w:tc>
      </w:tr>
      <w:tr w:rsidR="00FF546C" w:rsidTr="00FD40AA">
        <w:tc>
          <w:tcPr>
            <w:tcW w:w="2003" w:type="dxa"/>
          </w:tcPr>
          <w:p w:rsidR="000A0948" w:rsidRDefault="00FF546C" w:rsidP="00FF546C">
            <w:pPr>
              <w:rPr>
                <w:b/>
              </w:rPr>
            </w:pPr>
            <w:r w:rsidRPr="009065CE">
              <w:rPr>
                <w:b/>
              </w:rPr>
              <w:t>Guided/</w:t>
            </w:r>
          </w:p>
          <w:p w:rsidR="00FF546C" w:rsidRPr="009065CE" w:rsidRDefault="00FF546C" w:rsidP="00FF546C">
            <w:pPr>
              <w:rPr>
                <w:b/>
              </w:rPr>
            </w:pPr>
            <w:r w:rsidRPr="009065CE">
              <w:rPr>
                <w:b/>
              </w:rPr>
              <w:t>Independent Practice</w:t>
            </w:r>
          </w:p>
        </w:tc>
        <w:tc>
          <w:tcPr>
            <w:tcW w:w="2340" w:type="dxa"/>
          </w:tcPr>
          <w:p w:rsidR="00FF546C" w:rsidRPr="00885417" w:rsidRDefault="00C742DB" w:rsidP="009065CE">
            <w:r>
              <w:t>Parallel teaching</w:t>
            </w:r>
          </w:p>
        </w:tc>
        <w:tc>
          <w:tcPr>
            <w:tcW w:w="4320" w:type="dxa"/>
          </w:tcPr>
          <w:p w:rsidR="0034512D" w:rsidRDefault="0034512D" w:rsidP="0034512D">
            <w:pPr>
              <w:pStyle w:val="NormalWeb"/>
              <w:spacing w:before="120" w:beforeAutospacing="0" w:after="0" w:afterAutospacing="0"/>
              <w:rPr>
                <w:color w:val="000000"/>
              </w:rPr>
            </w:pPr>
            <w:r>
              <w:rPr>
                <w:color w:val="000000"/>
              </w:rPr>
              <w:t xml:space="preserve">Students complete solving inequalities in one and two variables activity sheet. </w:t>
            </w:r>
          </w:p>
          <w:p w:rsidR="00FF546C" w:rsidRPr="009065CE" w:rsidRDefault="0034512D" w:rsidP="00FD40AA">
            <w:pPr>
              <w:pStyle w:val="NormalWeb"/>
              <w:spacing w:before="120" w:beforeAutospacing="0" w:after="0" w:afterAutospacing="0"/>
            </w:pPr>
            <w:r>
              <w:rPr>
                <w:color w:val="000000"/>
              </w:rPr>
              <w:t>GE circulates to provide assistance and check for understanding while students work through each set independently. Once students have finished, they can work with a partner to solve and match the pieces of the solving inequalities puzzle.</w:t>
            </w:r>
          </w:p>
        </w:tc>
        <w:tc>
          <w:tcPr>
            <w:tcW w:w="4207" w:type="dxa"/>
          </w:tcPr>
          <w:p w:rsidR="0034512D" w:rsidRDefault="0034512D" w:rsidP="0034512D">
            <w:pPr>
              <w:pStyle w:val="NormalWeb"/>
              <w:spacing w:before="120" w:beforeAutospacing="0" w:after="0" w:afterAutospacing="0"/>
              <w:rPr>
                <w:color w:val="000000"/>
              </w:rPr>
            </w:pPr>
            <w:r>
              <w:rPr>
                <w:color w:val="000000"/>
              </w:rPr>
              <w:t xml:space="preserve">Students work to complete solving inequalities in one and two variables activity sheet. </w:t>
            </w:r>
          </w:p>
          <w:p w:rsidR="0034512D" w:rsidRDefault="0034512D" w:rsidP="0034512D">
            <w:pPr>
              <w:pStyle w:val="NormalWeb"/>
              <w:spacing w:before="120" w:beforeAutospacing="0" w:after="0" w:afterAutospacing="0"/>
            </w:pPr>
            <w:r>
              <w:rPr>
                <w:color w:val="000000"/>
              </w:rPr>
              <w:t>SE works with students to complete the activity. SE and students complete the first two sets together and then students complete the last two sets independently.</w:t>
            </w:r>
          </w:p>
          <w:p w:rsidR="00FF546C" w:rsidRPr="009065CE" w:rsidRDefault="0034512D" w:rsidP="00FD40AA">
            <w:pPr>
              <w:spacing w:before="120"/>
            </w:pPr>
            <w:r>
              <w:rPr>
                <w:color w:val="000000"/>
              </w:rPr>
              <w:t>Students can work in partners to complete the inequalities puzzle. For students who need more organizational assistance, SE provides the inequalities on separate paper rather than as the pieces of the heart.</w:t>
            </w:r>
          </w:p>
        </w:tc>
      </w:tr>
      <w:tr w:rsidR="00FF546C" w:rsidTr="00FD40AA">
        <w:tc>
          <w:tcPr>
            <w:tcW w:w="2003" w:type="dxa"/>
          </w:tcPr>
          <w:p w:rsidR="00FF546C" w:rsidRPr="009065CE" w:rsidRDefault="00FF546C" w:rsidP="00FF546C">
            <w:pPr>
              <w:rPr>
                <w:b/>
              </w:rPr>
            </w:pPr>
            <w:r w:rsidRPr="009065CE">
              <w:rPr>
                <w:b/>
              </w:rPr>
              <w:t>Closure</w:t>
            </w:r>
          </w:p>
        </w:tc>
        <w:tc>
          <w:tcPr>
            <w:tcW w:w="2340" w:type="dxa"/>
          </w:tcPr>
          <w:p w:rsidR="00FF546C" w:rsidRPr="00885417" w:rsidRDefault="00C742DB" w:rsidP="009065CE">
            <w:r>
              <w:t>Team teaching</w:t>
            </w:r>
          </w:p>
        </w:tc>
        <w:tc>
          <w:tcPr>
            <w:tcW w:w="4320" w:type="dxa"/>
          </w:tcPr>
          <w:p w:rsidR="003A2B8C" w:rsidRDefault="003A2B8C" w:rsidP="003A2B8C">
            <w:pPr>
              <w:pStyle w:val="NormalWeb"/>
              <w:spacing w:before="120" w:beforeAutospacing="0" w:after="0" w:afterAutospacing="0"/>
            </w:pPr>
            <w:r>
              <w:rPr>
                <w:color w:val="000000"/>
              </w:rPr>
              <w:t>GE posts the following exit slip question on the board or provides it to the students. If needed, provide the included multiple choice options to select the answer that fits best (answer is underlined):</w:t>
            </w:r>
          </w:p>
          <w:p w:rsidR="003A2B8C" w:rsidRPr="00C17829" w:rsidRDefault="003A2B8C" w:rsidP="003A2B8C">
            <w:pPr>
              <w:pStyle w:val="NormalWeb"/>
              <w:spacing w:before="120" w:beforeAutospacing="0" w:after="0" w:afterAutospacing="0"/>
              <w:rPr>
                <w:b/>
                <w:color w:val="000000"/>
              </w:rPr>
            </w:pPr>
            <w:r w:rsidRPr="00C17829">
              <w:rPr>
                <w:b/>
                <w:color w:val="000000"/>
              </w:rPr>
              <w:t>Questions</w:t>
            </w:r>
          </w:p>
          <w:p w:rsidR="003A2B8C" w:rsidRDefault="003A2B8C" w:rsidP="003A2B8C">
            <w:pPr>
              <w:pStyle w:val="NormalWeb"/>
              <w:spacing w:before="120" w:beforeAutospacing="0" w:after="0" w:afterAutospacing="0"/>
            </w:pPr>
            <w:r>
              <w:rPr>
                <w:color w:val="000000"/>
              </w:rPr>
              <w:t>Why is it necessary to shade part of the number line or coordinate plane when graphing an inequality?</w:t>
            </w:r>
          </w:p>
          <w:p w:rsidR="003A2B8C" w:rsidRDefault="003A2B8C" w:rsidP="00FD40AA">
            <w:pPr>
              <w:pStyle w:val="NormalWeb"/>
              <w:numPr>
                <w:ilvl w:val="0"/>
                <w:numId w:val="36"/>
              </w:numPr>
              <w:spacing w:before="120" w:beforeAutospacing="0" w:after="0" w:afterAutospacing="0"/>
              <w:jc w:val="both"/>
              <w:textAlignment w:val="baseline"/>
              <w:rPr>
                <w:color w:val="000000"/>
              </w:rPr>
            </w:pPr>
            <w:r>
              <w:rPr>
                <w:color w:val="000000"/>
              </w:rPr>
              <w:t>It shows the range of values that are not solutions.</w:t>
            </w:r>
          </w:p>
          <w:p w:rsidR="003A2B8C" w:rsidRDefault="003A2B8C" w:rsidP="00F53D50">
            <w:pPr>
              <w:pStyle w:val="NormalWeb"/>
              <w:spacing w:before="120" w:beforeAutospacing="0" w:after="0" w:afterAutospacing="0"/>
              <w:jc w:val="both"/>
              <w:textAlignment w:val="baseline"/>
              <w:rPr>
                <w:color w:val="000000"/>
              </w:rPr>
            </w:pPr>
          </w:p>
          <w:p w:rsidR="003A2B8C" w:rsidRDefault="003A2B8C" w:rsidP="00FD40AA">
            <w:pPr>
              <w:pStyle w:val="NormalWeb"/>
              <w:numPr>
                <w:ilvl w:val="0"/>
                <w:numId w:val="36"/>
              </w:numPr>
              <w:spacing w:before="120" w:beforeAutospacing="0" w:after="0" w:afterAutospacing="0"/>
              <w:jc w:val="both"/>
              <w:textAlignment w:val="baseline"/>
              <w:rPr>
                <w:color w:val="000000"/>
                <w:u w:val="single"/>
              </w:rPr>
            </w:pPr>
            <w:r w:rsidRPr="003A2B8C">
              <w:rPr>
                <w:color w:val="000000"/>
                <w:u w:val="single"/>
              </w:rPr>
              <w:t>It shows the range of values that are solutions</w:t>
            </w:r>
            <w:r>
              <w:rPr>
                <w:color w:val="000000"/>
                <w:u w:val="single"/>
              </w:rPr>
              <w:t>.</w:t>
            </w:r>
          </w:p>
          <w:p w:rsidR="00FF546C" w:rsidRPr="00C742DB" w:rsidRDefault="003A2B8C" w:rsidP="00FD40AA">
            <w:pPr>
              <w:pStyle w:val="NormalWeb"/>
              <w:numPr>
                <w:ilvl w:val="0"/>
                <w:numId w:val="36"/>
              </w:numPr>
              <w:spacing w:before="120" w:beforeAutospacing="0" w:after="0" w:afterAutospacing="0"/>
              <w:jc w:val="both"/>
              <w:textAlignment w:val="baseline"/>
              <w:rPr>
                <w:color w:val="000000"/>
              </w:rPr>
            </w:pPr>
            <w:r w:rsidRPr="003A2B8C">
              <w:rPr>
                <w:color w:val="000000"/>
              </w:rPr>
              <w:t>It makes the inequality with one variable look different from the inequality with two variable.</w:t>
            </w:r>
          </w:p>
        </w:tc>
        <w:tc>
          <w:tcPr>
            <w:tcW w:w="4207" w:type="dxa"/>
          </w:tcPr>
          <w:p w:rsidR="003A2B8C" w:rsidRPr="009065CE" w:rsidRDefault="003A2B8C" w:rsidP="003A2B8C">
            <w:pPr>
              <w:spacing w:before="120"/>
            </w:pPr>
            <w:r>
              <w:t>SE same as GE.</w:t>
            </w:r>
          </w:p>
          <w:p w:rsidR="00FF546C" w:rsidRPr="00500BAA" w:rsidRDefault="00FF546C" w:rsidP="00FD40AA">
            <w:pPr>
              <w:spacing w:before="120"/>
              <w:rPr>
                <w:rFonts w:asciiTheme="minorHAnsi" w:hAnsiTheme="minorHAnsi" w:cstheme="minorHAnsi"/>
              </w:rPr>
            </w:pPr>
          </w:p>
        </w:tc>
      </w:tr>
      <w:tr w:rsidR="00FF546C" w:rsidTr="00FD40AA">
        <w:tc>
          <w:tcPr>
            <w:tcW w:w="2003" w:type="dxa"/>
          </w:tcPr>
          <w:p w:rsidR="00FF546C" w:rsidRPr="009065CE" w:rsidRDefault="00FF546C" w:rsidP="00FF546C">
            <w:pPr>
              <w:rPr>
                <w:b/>
              </w:rPr>
            </w:pPr>
            <w:r w:rsidRPr="009065CE">
              <w:rPr>
                <w:b/>
              </w:rPr>
              <w:t>Formative Assessment Strategies</w:t>
            </w:r>
          </w:p>
        </w:tc>
        <w:tc>
          <w:tcPr>
            <w:tcW w:w="2340" w:type="dxa"/>
          </w:tcPr>
          <w:p w:rsidR="00F948BF" w:rsidRPr="009065CE" w:rsidRDefault="00C742DB" w:rsidP="00F948BF">
            <w:r>
              <w:t>Team teaching</w:t>
            </w:r>
          </w:p>
        </w:tc>
        <w:tc>
          <w:tcPr>
            <w:tcW w:w="4320" w:type="dxa"/>
          </w:tcPr>
          <w:p w:rsidR="003A2B8C" w:rsidRDefault="003A2B8C" w:rsidP="003A2B8C">
            <w:pPr>
              <w:pStyle w:val="NormalWeb"/>
              <w:spacing w:before="120" w:beforeAutospacing="0" w:after="0" w:afterAutospacing="0"/>
            </w:pPr>
            <w:r>
              <w:rPr>
                <w:color w:val="000000"/>
              </w:rPr>
              <w:t>Teachers monitor and check for understanding as students work on the individual and partner assignments. If teachers see students who are struggling with demonstrating mastery, teachers should walk through a problem with the student and check for understanding through each of the steps.</w:t>
            </w:r>
          </w:p>
          <w:p w:rsidR="00CF2234" w:rsidRPr="009065CE" w:rsidRDefault="003A2B8C" w:rsidP="00FD40AA">
            <w:pPr>
              <w:pStyle w:val="NormalWeb"/>
              <w:spacing w:before="120" w:beforeAutospacing="0" w:after="0" w:afterAutospacing="0"/>
            </w:pPr>
            <w:r>
              <w:rPr>
                <w:color w:val="000000"/>
              </w:rPr>
              <w:t>Additionally, teachers will collect the Inequalities puzzle to check for mastery of solving inequalities. The exit slip also serves as a method of assessing student understanding of graphing inequalities and the meaning behind each graph.</w:t>
            </w:r>
          </w:p>
        </w:tc>
        <w:tc>
          <w:tcPr>
            <w:tcW w:w="4207" w:type="dxa"/>
          </w:tcPr>
          <w:p w:rsidR="003A2B8C" w:rsidRPr="009065CE" w:rsidRDefault="003A2B8C" w:rsidP="003A2B8C">
            <w:pPr>
              <w:spacing w:before="120"/>
            </w:pPr>
            <w:r>
              <w:t>SE same as GE.</w:t>
            </w:r>
          </w:p>
          <w:p w:rsidR="00FF546C" w:rsidRPr="009065CE" w:rsidRDefault="00FF546C" w:rsidP="00FD40AA">
            <w:pPr>
              <w:spacing w:before="120"/>
            </w:pPr>
          </w:p>
        </w:tc>
      </w:tr>
      <w:tr w:rsidR="00F948BF" w:rsidTr="00FD40AA">
        <w:tc>
          <w:tcPr>
            <w:tcW w:w="2003" w:type="dxa"/>
          </w:tcPr>
          <w:p w:rsidR="00F948BF" w:rsidRPr="009065CE" w:rsidRDefault="00F948BF" w:rsidP="00FF546C">
            <w:pPr>
              <w:rPr>
                <w:b/>
              </w:rPr>
            </w:pPr>
            <w:r>
              <w:rPr>
                <w:b/>
              </w:rPr>
              <w:t>Homework</w:t>
            </w:r>
          </w:p>
        </w:tc>
        <w:tc>
          <w:tcPr>
            <w:tcW w:w="2340" w:type="dxa"/>
          </w:tcPr>
          <w:p w:rsidR="00F948BF" w:rsidRDefault="00C742DB" w:rsidP="00FF546C">
            <w:r>
              <w:t>Team teaching</w:t>
            </w:r>
          </w:p>
        </w:tc>
        <w:tc>
          <w:tcPr>
            <w:tcW w:w="4320" w:type="dxa"/>
          </w:tcPr>
          <w:p w:rsidR="00953FC7" w:rsidRDefault="003A2B8C" w:rsidP="00FD40AA">
            <w:pPr>
              <w:spacing w:before="120"/>
            </w:pPr>
            <w:r>
              <w:rPr>
                <w:color w:val="000000"/>
              </w:rPr>
              <w:t>Students finish solving the inequalities puzzle if it is not done in class.</w:t>
            </w:r>
          </w:p>
        </w:tc>
        <w:tc>
          <w:tcPr>
            <w:tcW w:w="4207" w:type="dxa"/>
          </w:tcPr>
          <w:p w:rsidR="003A2B8C" w:rsidRPr="009065CE" w:rsidRDefault="003A2B8C" w:rsidP="003A2B8C">
            <w:pPr>
              <w:spacing w:before="120"/>
            </w:pPr>
            <w:r>
              <w:t>SE same as GE.</w:t>
            </w:r>
          </w:p>
          <w:p w:rsidR="00F948BF" w:rsidRDefault="00F948BF" w:rsidP="00FD40AA">
            <w:pPr>
              <w:spacing w:before="120"/>
            </w:pPr>
          </w:p>
        </w:tc>
      </w:tr>
    </w:tbl>
    <w:p w:rsidR="00AF35C6" w:rsidRDefault="00AF35C6" w:rsidP="007C26A5">
      <w:pPr>
        <w:pStyle w:val="Heading3"/>
        <w:rPr>
          <w:sz w:val="6"/>
        </w:rPr>
      </w:pPr>
    </w:p>
    <w:p w:rsidR="00476E09" w:rsidRPr="00A058B4" w:rsidRDefault="00476E09" w:rsidP="00FD40AA">
      <w:pPr>
        <w:pStyle w:val="Heading2"/>
        <w:spacing w:before="240"/>
      </w:pPr>
      <w:r>
        <w:t>Specially Designed Instruction</w:t>
      </w:r>
    </w:p>
    <w:p w:rsidR="00D95214" w:rsidRDefault="00D95214" w:rsidP="00D95214">
      <w:pPr>
        <w:pStyle w:val="ListParagraph"/>
        <w:numPr>
          <w:ilvl w:val="0"/>
          <w:numId w:val="21"/>
        </w:numPr>
      </w:pPr>
      <w:r>
        <w:t>The framing routine is used to review previously known content of solving and graphing one-variable equations on a number line and comparing this to solving and graphing two-variable inequalities on a coordinate plane. The frame prompts students to make connections between open circles and dotted lines as well as between closed circles and solid lines.</w:t>
      </w:r>
    </w:p>
    <w:p w:rsidR="00D95214" w:rsidRDefault="00D95214" w:rsidP="00D95214">
      <w:pPr>
        <w:pStyle w:val="ListParagraph"/>
        <w:numPr>
          <w:ilvl w:val="0"/>
          <w:numId w:val="21"/>
        </w:numPr>
      </w:pPr>
      <w:r>
        <w:t>Review graphic organizers such as the frame provide a space for students to organize a wide variety of information and present it in such a way that students can begin to make connections between previous information and current topics.</w:t>
      </w:r>
    </w:p>
    <w:p w:rsidR="00202B45" w:rsidRDefault="00D95214" w:rsidP="00476E09">
      <w:pPr>
        <w:pStyle w:val="ListParagraph"/>
        <w:numPr>
          <w:ilvl w:val="0"/>
          <w:numId w:val="21"/>
        </w:numPr>
      </w:pPr>
      <w:r>
        <w:t>Parallel teaching allows students to be taught in smaller groups based on ability levels. Students in a group with the general education teacher complete more work on an individual basis with less teacher guidance. Students in a group with the special education teacher have more explicit instruction and guided practice time.</w:t>
      </w:r>
    </w:p>
    <w:p w:rsidR="00476E09" w:rsidRPr="00A058B4" w:rsidRDefault="00476E09" w:rsidP="00FD40AA">
      <w:pPr>
        <w:pStyle w:val="Heading2"/>
        <w:spacing w:before="240"/>
      </w:pPr>
      <w:r>
        <w:t>Accommodations</w:t>
      </w:r>
    </w:p>
    <w:p w:rsidR="004B0D01" w:rsidRPr="00C742DB" w:rsidRDefault="004B0D01" w:rsidP="004B0D01">
      <w:pPr>
        <w:pStyle w:val="NormalWeb"/>
        <w:numPr>
          <w:ilvl w:val="0"/>
          <w:numId w:val="27"/>
        </w:numPr>
        <w:spacing w:before="0" w:beforeAutospacing="0" w:after="0" w:afterAutospacing="0"/>
        <w:jc w:val="both"/>
      </w:pPr>
      <w:r>
        <w:t>Use the frame routine to review and compare graphing one- and two-variable inequalities. This frame can be partially or completely finished prior to giving it to students. A recommendation for a partially completed frame includes the title and the “is about” statement at the top of the frame, as well as any graphs that need to be drawn. For graphs that are pre-drawn, students can add additional shading in the correct region of the graph.</w:t>
      </w:r>
    </w:p>
    <w:p w:rsidR="004B0D01" w:rsidRPr="00C742DB" w:rsidRDefault="004B0D01" w:rsidP="004B0D01">
      <w:pPr>
        <w:pStyle w:val="NormalWeb"/>
        <w:numPr>
          <w:ilvl w:val="0"/>
          <w:numId w:val="27"/>
        </w:numPr>
        <w:spacing w:before="0" w:beforeAutospacing="0" w:after="0" w:afterAutospacing="0"/>
        <w:jc w:val="both"/>
      </w:pPr>
      <w:r>
        <w:rPr>
          <w:color w:val="000000"/>
        </w:rPr>
        <w:t>Have segments pre-cut for students who have OT or visual services/accommodations.</w:t>
      </w:r>
    </w:p>
    <w:p w:rsidR="004B0D01" w:rsidRPr="00C742DB" w:rsidRDefault="004B0D01" w:rsidP="004B0D01">
      <w:pPr>
        <w:pStyle w:val="NormalWeb"/>
        <w:numPr>
          <w:ilvl w:val="0"/>
          <w:numId w:val="27"/>
        </w:numPr>
        <w:spacing w:before="0" w:beforeAutospacing="0" w:after="0" w:afterAutospacing="0"/>
        <w:jc w:val="both"/>
      </w:pPr>
      <w:r>
        <w:rPr>
          <w:color w:val="000000"/>
        </w:rPr>
        <w:t xml:space="preserve">Provide a copy of the equations from the board or the cut-out segments on lined paper for students with executive functioning deficits. </w:t>
      </w:r>
    </w:p>
    <w:p w:rsidR="00C742DB" w:rsidRDefault="004B0D01" w:rsidP="00C742DB">
      <w:pPr>
        <w:pStyle w:val="NormalWeb"/>
        <w:numPr>
          <w:ilvl w:val="0"/>
          <w:numId w:val="27"/>
        </w:numPr>
        <w:spacing w:before="0" w:beforeAutospacing="0" w:after="0" w:afterAutospacing="0"/>
        <w:jc w:val="both"/>
      </w:pPr>
      <w:r>
        <w:rPr>
          <w:color w:val="000000"/>
        </w:rPr>
        <w:t>Use colored pencils to mark the shaded areas on graphs in preparation for graphing systems of inequalities.</w:t>
      </w:r>
    </w:p>
    <w:p w:rsidR="00476E09" w:rsidRDefault="00476E09" w:rsidP="00FD40AA">
      <w:pPr>
        <w:pStyle w:val="Heading2"/>
        <w:spacing w:before="240"/>
      </w:pPr>
      <w:r>
        <w:t>Modifications</w:t>
      </w:r>
    </w:p>
    <w:p w:rsidR="00F53D50" w:rsidRPr="00F53D50" w:rsidRDefault="00F53D50" w:rsidP="00F53D50">
      <w:pPr>
        <w:pStyle w:val="ListParagraph"/>
        <w:numPr>
          <w:ilvl w:val="0"/>
          <w:numId w:val="37"/>
        </w:numPr>
      </w:pPr>
      <w:r>
        <w:t>For those students who require a modified curriculum, content can be modified to solving and graphing inequalities that only contain one variable.  Content can also be modified by decreasing the number steps required for solving.</w:t>
      </w:r>
    </w:p>
    <w:p w:rsidR="00476E09" w:rsidRDefault="00476E09" w:rsidP="00FD40AA">
      <w:pPr>
        <w:pStyle w:val="Heading2"/>
        <w:spacing w:before="240"/>
      </w:pPr>
      <w:r>
        <w:t>Notes</w:t>
      </w:r>
    </w:p>
    <w:p w:rsidR="004B0D01" w:rsidRDefault="004B0D01" w:rsidP="004B0D01">
      <w:pPr>
        <w:pStyle w:val="ListParagraph"/>
        <w:numPr>
          <w:ilvl w:val="0"/>
          <w:numId w:val="17"/>
        </w:numPr>
      </w:pPr>
      <w:r w:rsidRPr="00CD2C60">
        <w:t xml:space="preserve">“Special </w:t>
      </w:r>
      <w:r>
        <w:t>e</w:t>
      </w:r>
      <w:r w:rsidRPr="00CD2C60">
        <w:t xml:space="preserve">ducator” as noted in this lesson plan might be an EL </w:t>
      </w:r>
      <w:r>
        <w:t>t</w:t>
      </w:r>
      <w:r w:rsidRPr="00CD2C60">
        <w:t xml:space="preserve">eacher, </w:t>
      </w:r>
      <w:r>
        <w:t>s</w:t>
      </w:r>
      <w:r w:rsidRPr="00CD2C60">
        <w:t xml:space="preserve">peech </w:t>
      </w:r>
      <w:r>
        <w:t>p</w:t>
      </w:r>
      <w:r w:rsidRPr="00CD2C60">
        <w:t xml:space="preserve">athologist, or other specialist co-teaching with a </w:t>
      </w:r>
      <w:r>
        <w:t>g</w:t>
      </w:r>
      <w:r w:rsidRPr="00CD2C60">
        <w:t xml:space="preserve">eneral </w:t>
      </w:r>
      <w:r>
        <w:t>e</w:t>
      </w:r>
      <w:r w:rsidRPr="00CD2C60">
        <w:t>ducator</w:t>
      </w:r>
      <w:r>
        <w:t>.</w:t>
      </w:r>
    </w:p>
    <w:p w:rsidR="0039098E" w:rsidRDefault="0039098E" w:rsidP="0039098E">
      <w:pPr>
        <w:pStyle w:val="ListParagraph"/>
        <w:numPr>
          <w:ilvl w:val="0"/>
          <w:numId w:val="17"/>
        </w:numPr>
      </w:pPr>
      <w:r>
        <w:t xml:space="preserve">The co-teachers who developed this lesson plan received required professional development in the use of specialized instructional techniques which combine an explicit instructional routine with the co-construction of a visual device (graphic organizer).  The </w:t>
      </w:r>
      <w:r>
        <w:rPr>
          <w:i/>
        </w:rPr>
        <w:t>Framing R</w:t>
      </w:r>
      <w:r w:rsidRPr="000431C3">
        <w:rPr>
          <w:i/>
        </w:rPr>
        <w:t>outine</w:t>
      </w:r>
      <w:r>
        <w:t xml:space="preserve"> in conjunction with “The Frame” helps to develop understanding of information and procedures by associating their main ideas and details.  These Content Enhancement Routines were developed at the </w:t>
      </w:r>
      <w:hyperlink r:id="rId11" w:tgtFrame="_blank" w:history="1">
        <w:r w:rsidR="00DA2C27">
          <w:rPr>
            <w:bCs/>
            <w:color w:val="0000FF"/>
            <w:u w:val="single"/>
            <w:shd w:val="clear" w:color="auto" w:fill="FFFFFF"/>
          </w:rPr>
          <w:t>Center for Research on Learning at the University of Kansas.</w:t>
        </w:r>
      </w:hyperlink>
    </w:p>
    <w:p w:rsidR="0039098E" w:rsidRDefault="0039098E" w:rsidP="0039098E">
      <w:pPr>
        <w:pStyle w:val="ListParagraph"/>
        <w:numPr>
          <w:ilvl w:val="0"/>
          <w:numId w:val="17"/>
        </w:numPr>
      </w:pPr>
      <w:r>
        <w:t xml:space="preserve">Other graphic organizers should be used by teachers who have not received professional development in the </w:t>
      </w:r>
      <w:r w:rsidRPr="000D6295">
        <w:rPr>
          <w:i/>
        </w:rPr>
        <w:t>Framing Routine</w:t>
      </w:r>
      <w:r>
        <w:t>.  If Virginia teachers would like to learn the Content Enhancement Routines, contact your regional TTAC.</w:t>
      </w:r>
    </w:p>
    <w:p w:rsidR="0039098E" w:rsidRDefault="0039098E" w:rsidP="0039098E"/>
    <w:p w:rsidR="0039098E" w:rsidRDefault="0039098E" w:rsidP="0039098E">
      <w:pPr>
        <w:widowControl/>
        <w:rPr>
          <w:rFonts w:cs="Calibri"/>
          <w:b/>
          <w:bCs/>
        </w:rPr>
      </w:pPr>
    </w:p>
    <w:p w:rsidR="0039098E" w:rsidRPr="000053FE" w:rsidRDefault="0039098E" w:rsidP="0039098E">
      <w:pPr>
        <w:widowControl/>
        <w:rPr>
          <w:rFonts w:asciiTheme="minorHAnsi" w:eastAsia="Times New Roman" w:hAnsiTheme="minorHAnsi" w:cstheme="minorHAnsi"/>
          <w:kern w:val="0"/>
          <w:lang w:eastAsia="en-US" w:bidi="en-US"/>
        </w:rPr>
      </w:pPr>
      <w:r w:rsidRPr="000053FE">
        <w:rPr>
          <w:rFonts w:cs="Calibri"/>
          <w:b/>
          <w:bCs/>
        </w:rPr>
        <w:t>Note: The following pages are intended for classroom use for students as a visual aid to learning.</w:t>
      </w:r>
    </w:p>
    <w:p w:rsidR="0039098E" w:rsidRDefault="0039098E" w:rsidP="0039098E"/>
    <w:p w:rsidR="0039098E" w:rsidRDefault="0039098E" w:rsidP="0039098E">
      <w:pPr>
        <w:pStyle w:val="ListParagraph"/>
      </w:pPr>
    </w:p>
    <w:p w:rsidR="0039122F" w:rsidRDefault="00476E09" w:rsidP="006735E2">
      <w:pPr>
        <w:pStyle w:val="Heading3"/>
        <w:rPr>
          <w:b w:val="0"/>
        </w:rPr>
        <w:sectPr w:rsidR="0039122F" w:rsidSect="00014952">
          <w:type w:val="continuous"/>
          <w:pgSz w:w="15840" w:h="12240" w:orient="landscape"/>
          <w:pgMar w:top="630" w:right="994" w:bottom="1296" w:left="1440" w:header="720" w:footer="720" w:gutter="0"/>
          <w:cols w:space="720"/>
          <w:noEndnote/>
          <w:docGrid w:linePitch="326"/>
        </w:sectPr>
      </w:pPr>
      <w:r w:rsidRPr="00476E09">
        <w:rPr>
          <w:b w:val="0"/>
        </w:rPr>
        <w:t>Virginia Department of Education©</w:t>
      </w:r>
      <w:r w:rsidR="0009677C" w:rsidRPr="00476E09">
        <w:rPr>
          <w:b w:val="0"/>
        </w:rPr>
        <w:t>201</w:t>
      </w:r>
      <w:r w:rsidR="0009677C">
        <w:rPr>
          <w:b w:val="0"/>
        </w:rPr>
        <w:t>8</w:t>
      </w:r>
      <w:r w:rsidR="009341F0" w:rsidRPr="00476E09">
        <w:rPr>
          <w:b w:val="0"/>
        </w:rPr>
        <w:br/>
      </w:r>
    </w:p>
    <w:p w:rsidR="00FF546C" w:rsidRPr="00476E09" w:rsidRDefault="00FF546C" w:rsidP="006735E2">
      <w:pPr>
        <w:pStyle w:val="Heading3"/>
        <w:rPr>
          <w:b w:val="0"/>
        </w:rPr>
      </w:pPr>
    </w:p>
    <w:p w:rsidR="00BF046F" w:rsidRPr="00FD40AA" w:rsidRDefault="0039122F" w:rsidP="00FD40AA">
      <w:pPr>
        <w:ind w:left="180"/>
        <w:jc w:val="center"/>
        <w:rPr>
          <w:b/>
          <w:sz w:val="32"/>
          <w:szCs w:val="32"/>
        </w:rPr>
      </w:pPr>
      <w:r w:rsidRPr="00FD40AA">
        <w:rPr>
          <w:b/>
          <w:sz w:val="32"/>
          <w:szCs w:val="32"/>
        </w:rPr>
        <w:t>The Frame Routine Graphic Organizer</w:t>
      </w:r>
    </w:p>
    <w:p w:rsidR="00202B45" w:rsidRDefault="00202B45" w:rsidP="00FD40AA">
      <w:pPr>
        <w:jc w:val="center"/>
      </w:pPr>
    </w:p>
    <w:p w:rsidR="0039122F" w:rsidRDefault="0039122F" w:rsidP="00FD40AA">
      <w:pPr>
        <w:jc w:val="center"/>
      </w:pPr>
      <w:r>
        <w:rPr>
          <w:noProof/>
          <w:lang w:eastAsia="en-US"/>
        </w:rPr>
        <w:drawing>
          <wp:inline distT="0" distB="0" distL="0" distR="0" wp14:anchorId="0BE1C3EF" wp14:editId="6F266E08">
            <wp:extent cx="6811326" cy="5315692"/>
            <wp:effectExtent l="0" t="0" r="8890" b="0"/>
            <wp:docPr id="7" name="Picture 7" descr="Blank Frame Rou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1.PNG"/>
                    <pic:cNvPicPr/>
                  </pic:nvPicPr>
                  <pic:blipFill>
                    <a:blip r:embed="rId12">
                      <a:extLst>
                        <a:ext uri="{28A0092B-C50C-407E-A947-70E740481C1C}">
                          <a14:useLocalDpi xmlns:a14="http://schemas.microsoft.com/office/drawing/2010/main" val="0"/>
                        </a:ext>
                      </a:extLst>
                    </a:blip>
                    <a:stretch>
                      <a:fillRect/>
                    </a:stretch>
                  </pic:blipFill>
                  <pic:spPr>
                    <a:xfrm>
                      <a:off x="0" y="0"/>
                      <a:ext cx="6811326" cy="5315692"/>
                    </a:xfrm>
                    <a:prstGeom prst="rect">
                      <a:avLst/>
                    </a:prstGeom>
                  </pic:spPr>
                </pic:pic>
              </a:graphicData>
            </a:graphic>
          </wp:inline>
        </w:drawing>
      </w:r>
    </w:p>
    <w:p w:rsidR="0039122F" w:rsidRDefault="0039122F" w:rsidP="00FD40AA">
      <w:pPr>
        <w:sectPr w:rsidR="0039122F" w:rsidSect="0039122F">
          <w:pgSz w:w="15840" w:h="12240" w:orient="landscape"/>
          <w:pgMar w:top="630" w:right="994" w:bottom="1296" w:left="1440" w:header="720" w:footer="720" w:gutter="0"/>
          <w:cols w:space="720"/>
          <w:noEndnote/>
          <w:docGrid w:linePitch="326"/>
        </w:sectPr>
      </w:pPr>
    </w:p>
    <w:p w:rsidR="0039122F" w:rsidRPr="006B1A55" w:rsidRDefault="0039122F" w:rsidP="0039122F">
      <w:pPr>
        <w:jc w:val="center"/>
      </w:pPr>
      <w:r>
        <w:rPr>
          <w:b/>
        </w:rPr>
        <w:t>The Frame Routine Graphic Organizer, Sample</w:t>
      </w:r>
    </w:p>
    <w:p w:rsidR="0039122F" w:rsidRDefault="0039122F" w:rsidP="00FD40AA">
      <w:pPr>
        <w:jc w:val="center"/>
      </w:pPr>
    </w:p>
    <w:p w:rsidR="0039122F" w:rsidRDefault="0039122F">
      <w:pPr>
        <w:jc w:val="center"/>
      </w:pPr>
      <w:r>
        <w:rPr>
          <w:noProof/>
          <w:lang w:eastAsia="en-US"/>
        </w:rPr>
        <w:drawing>
          <wp:inline distT="0" distB="0" distL="0" distR="0" wp14:anchorId="0E9325D0" wp14:editId="3E1E5DE7">
            <wp:extent cx="6339732" cy="4767755"/>
            <wp:effectExtent l="0" t="0" r="4445" b="0"/>
            <wp:docPr id="8" name="Picture 8" descr="Completed Frame Rou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1.PNG"/>
                    <pic:cNvPicPr/>
                  </pic:nvPicPr>
                  <pic:blipFill>
                    <a:blip r:embed="rId13">
                      <a:extLst>
                        <a:ext uri="{28A0092B-C50C-407E-A947-70E740481C1C}">
                          <a14:useLocalDpi xmlns:a14="http://schemas.microsoft.com/office/drawing/2010/main" val="0"/>
                        </a:ext>
                      </a:extLst>
                    </a:blip>
                    <a:stretch>
                      <a:fillRect/>
                    </a:stretch>
                  </pic:blipFill>
                  <pic:spPr>
                    <a:xfrm>
                      <a:off x="0" y="0"/>
                      <a:ext cx="6355781" cy="4779825"/>
                    </a:xfrm>
                    <a:prstGeom prst="rect">
                      <a:avLst/>
                    </a:prstGeom>
                  </pic:spPr>
                </pic:pic>
              </a:graphicData>
            </a:graphic>
          </wp:inline>
        </w:drawing>
      </w:r>
    </w:p>
    <w:p w:rsidR="0039122F" w:rsidRDefault="0039122F">
      <w:pPr>
        <w:jc w:val="center"/>
      </w:pPr>
    </w:p>
    <w:p w:rsidR="0039122F" w:rsidRDefault="0039122F">
      <w:pPr>
        <w:jc w:val="center"/>
        <w:sectPr w:rsidR="0039122F" w:rsidSect="0039122F">
          <w:pgSz w:w="15840" w:h="12240" w:orient="landscape"/>
          <w:pgMar w:top="1440" w:right="1440" w:bottom="1440" w:left="1440" w:header="720" w:footer="720" w:gutter="0"/>
          <w:cols w:space="720"/>
          <w:noEndnote/>
          <w:docGrid w:linePitch="326"/>
        </w:sectPr>
      </w:pPr>
    </w:p>
    <w:p w:rsidR="0039122F" w:rsidRDefault="0039122F" w:rsidP="00FD40AA">
      <w:pPr>
        <w:jc w:val="center"/>
        <w:rPr>
          <w:b/>
          <w:sz w:val="32"/>
          <w:szCs w:val="32"/>
        </w:rPr>
      </w:pPr>
      <w:r w:rsidRPr="00C17829">
        <w:rPr>
          <w:b/>
          <w:sz w:val="32"/>
          <w:szCs w:val="32"/>
        </w:rPr>
        <w:t>Solving Inequalities</w:t>
      </w:r>
      <w:r>
        <w:rPr>
          <w:b/>
          <w:sz w:val="32"/>
          <w:szCs w:val="32"/>
        </w:rPr>
        <w:t xml:space="preserve"> in One and Two Variables</w:t>
      </w:r>
    </w:p>
    <w:p w:rsidR="0039122F" w:rsidRDefault="0039122F" w:rsidP="00FD40AA">
      <w:pPr>
        <w:jc w:val="center"/>
      </w:pPr>
    </w:p>
    <w:p w:rsidR="0039122F" w:rsidRDefault="0039122F" w:rsidP="00FD40AA">
      <w:pPr>
        <w:spacing w:after="240"/>
        <w:ind w:left="-720"/>
        <w:jc w:val="center"/>
      </w:pPr>
      <w:r>
        <w:rPr>
          <w:b/>
          <w:noProof/>
          <w:sz w:val="32"/>
          <w:szCs w:val="32"/>
          <w:lang w:eastAsia="en-US"/>
        </w:rPr>
        <w:drawing>
          <wp:inline distT="0" distB="0" distL="0" distR="0" wp14:anchorId="2A73CB00" wp14:editId="373F9B50">
            <wp:extent cx="5011756" cy="6624536"/>
            <wp:effectExtent l="0" t="0" r="0" b="5080"/>
            <wp:docPr id="9" name="Picture 9" descr="Solve inequalities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a:blip r:embed="rId14">
                      <a:extLst>
                        <a:ext uri="{28A0092B-C50C-407E-A947-70E740481C1C}">
                          <a14:useLocalDpi xmlns:a14="http://schemas.microsoft.com/office/drawing/2010/main" val="0"/>
                        </a:ext>
                      </a:extLst>
                    </a:blip>
                    <a:stretch>
                      <a:fillRect/>
                    </a:stretch>
                  </pic:blipFill>
                  <pic:spPr>
                    <a:xfrm>
                      <a:off x="0" y="0"/>
                      <a:ext cx="5015744" cy="6629808"/>
                    </a:xfrm>
                    <a:prstGeom prst="rect">
                      <a:avLst/>
                    </a:prstGeom>
                  </pic:spPr>
                </pic:pic>
              </a:graphicData>
            </a:graphic>
          </wp:inline>
        </w:drawing>
      </w:r>
    </w:p>
    <w:p w:rsidR="0039122F" w:rsidRDefault="0039122F" w:rsidP="0039122F">
      <w:pPr>
        <w:spacing w:after="240"/>
        <w:ind w:left="-720"/>
        <w:jc w:val="center"/>
        <w:sectPr w:rsidR="0039122F" w:rsidSect="0039122F">
          <w:pgSz w:w="12240" w:h="15840"/>
          <w:pgMar w:top="1440" w:right="1440" w:bottom="1440" w:left="1440" w:header="720" w:footer="720" w:gutter="0"/>
          <w:cols w:space="720"/>
          <w:noEndnote/>
          <w:docGrid w:linePitch="326"/>
        </w:sectPr>
      </w:pPr>
    </w:p>
    <w:p w:rsidR="00DE5AD9" w:rsidRDefault="00DE5AD9" w:rsidP="00FD40AA">
      <w:pPr>
        <w:spacing w:after="240"/>
        <w:ind w:left="-720"/>
        <w:jc w:val="center"/>
        <w:rPr>
          <w:b/>
          <w:sz w:val="32"/>
          <w:szCs w:val="32"/>
        </w:rPr>
      </w:pPr>
      <w:r w:rsidRPr="006B1A55">
        <w:rPr>
          <w:b/>
          <w:sz w:val="32"/>
          <w:szCs w:val="32"/>
        </w:rPr>
        <w:t>Solving Inequalities</w:t>
      </w:r>
      <w:r>
        <w:rPr>
          <w:b/>
          <w:sz w:val="32"/>
          <w:szCs w:val="32"/>
        </w:rPr>
        <w:t xml:space="preserve"> in One and Two Variables, cont.</w:t>
      </w:r>
    </w:p>
    <w:p w:rsidR="00DE5AD9" w:rsidRPr="00FD40AA" w:rsidRDefault="00DE5AD9" w:rsidP="00FD40AA">
      <w:pPr>
        <w:spacing w:after="240"/>
        <w:ind w:left="-720"/>
        <w:jc w:val="center"/>
        <w:rPr>
          <w:b/>
        </w:rPr>
      </w:pPr>
    </w:p>
    <w:p w:rsidR="00DE5AD9" w:rsidRDefault="00DE5AD9" w:rsidP="00FD40AA">
      <w:pPr>
        <w:spacing w:after="240"/>
        <w:ind w:left="-720"/>
        <w:jc w:val="center"/>
      </w:pPr>
      <w:r>
        <w:rPr>
          <w:noProof/>
          <w:lang w:eastAsia="en-US"/>
        </w:rPr>
        <w:drawing>
          <wp:inline distT="0" distB="0" distL="0" distR="0" wp14:anchorId="163B2D7B" wp14:editId="774C92E9">
            <wp:extent cx="4798916" cy="5591632"/>
            <wp:effectExtent l="0" t="0" r="1905" b="9525"/>
            <wp:docPr id="10" name="Picture 10" descr="inequality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1.PNG"/>
                    <pic:cNvPicPr/>
                  </pic:nvPicPr>
                  <pic:blipFill>
                    <a:blip r:embed="rId15">
                      <a:extLst>
                        <a:ext uri="{28A0092B-C50C-407E-A947-70E740481C1C}">
                          <a14:useLocalDpi xmlns:a14="http://schemas.microsoft.com/office/drawing/2010/main" val="0"/>
                        </a:ext>
                      </a:extLst>
                    </a:blip>
                    <a:stretch>
                      <a:fillRect/>
                    </a:stretch>
                  </pic:blipFill>
                  <pic:spPr>
                    <a:xfrm>
                      <a:off x="0" y="0"/>
                      <a:ext cx="4806356" cy="5600301"/>
                    </a:xfrm>
                    <a:prstGeom prst="rect">
                      <a:avLst/>
                    </a:prstGeom>
                  </pic:spPr>
                </pic:pic>
              </a:graphicData>
            </a:graphic>
          </wp:inline>
        </w:drawing>
      </w:r>
    </w:p>
    <w:p w:rsidR="00DE5AD9" w:rsidRDefault="00DE5AD9" w:rsidP="00DE5AD9">
      <w:pPr>
        <w:spacing w:after="240"/>
        <w:ind w:left="-720"/>
        <w:jc w:val="center"/>
        <w:sectPr w:rsidR="00DE5AD9" w:rsidSect="0039122F">
          <w:pgSz w:w="12240" w:h="15840"/>
          <w:pgMar w:top="1440" w:right="1440" w:bottom="1440" w:left="1440" w:header="720" w:footer="720" w:gutter="0"/>
          <w:cols w:space="720"/>
          <w:noEndnote/>
          <w:docGrid w:linePitch="326"/>
        </w:sectPr>
      </w:pPr>
    </w:p>
    <w:p w:rsidR="00DE5AD9" w:rsidRDefault="00AF38B7" w:rsidP="00FD40AA">
      <w:pPr>
        <w:spacing w:after="240"/>
        <w:ind w:left="-720"/>
        <w:jc w:val="center"/>
        <w:rPr>
          <w:b/>
          <w:sz w:val="32"/>
          <w:szCs w:val="32"/>
        </w:rPr>
      </w:pPr>
      <w:r>
        <w:rPr>
          <w:b/>
          <w:sz w:val="32"/>
          <w:szCs w:val="32"/>
        </w:rPr>
        <w:t>Solving Inequalities Puzzle</w:t>
      </w:r>
    </w:p>
    <w:p w:rsidR="00DE5AD9" w:rsidRDefault="00DE5AD9" w:rsidP="00FD40AA">
      <w:pPr>
        <w:spacing w:after="240"/>
        <w:ind w:left="-720"/>
        <w:jc w:val="center"/>
        <w:rPr>
          <w:b/>
        </w:rPr>
      </w:pPr>
    </w:p>
    <w:p w:rsidR="00014952" w:rsidRDefault="0038581F" w:rsidP="00DA2C27">
      <w:pPr>
        <w:spacing w:after="240"/>
        <w:ind w:left="-720"/>
        <w:jc w:val="center"/>
      </w:pPr>
      <w:r>
        <w:rPr>
          <w:b/>
          <w:noProof/>
          <w:lang w:eastAsia="en-US"/>
        </w:rPr>
        <w:drawing>
          <wp:inline distT="0" distB="0" distL="0" distR="0" wp14:anchorId="2FBABD4E" wp14:editId="29FD37BF">
            <wp:extent cx="4620270" cy="5934903"/>
            <wp:effectExtent l="0" t="0" r="8890" b="8890"/>
            <wp:docPr id="11" name="Picture 11" descr="inequality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1.PNG"/>
                    <pic:cNvPicPr/>
                  </pic:nvPicPr>
                  <pic:blipFill>
                    <a:blip r:embed="rId16">
                      <a:extLst>
                        <a:ext uri="{28A0092B-C50C-407E-A947-70E740481C1C}">
                          <a14:useLocalDpi xmlns:a14="http://schemas.microsoft.com/office/drawing/2010/main" val="0"/>
                        </a:ext>
                      </a:extLst>
                    </a:blip>
                    <a:stretch>
                      <a:fillRect/>
                    </a:stretch>
                  </pic:blipFill>
                  <pic:spPr>
                    <a:xfrm>
                      <a:off x="0" y="0"/>
                      <a:ext cx="4620270" cy="5934903"/>
                    </a:xfrm>
                    <a:prstGeom prst="rect">
                      <a:avLst/>
                    </a:prstGeom>
                  </pic:spPr>
                </pic:pic>
              </a:graphicData>
            </a:graphic>
          </wp:inline>
        </w:drawing>
      </w:r>
    </w:p>
    <w:p w:rsidR="00014952" w:rsidRDefault="00014952" w:rsidP="00FD40AA">
      <w:pPr>
        <w:spacing w:after="240"/>
      </w:pPr>
    </w:p>
    <w:sectPr w:rsidR="00014952" w:rsidSect="00FD40AA">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FF4" w:rsidRDefault="00EE6FF4" w:rsidP="00774BF2">
      <w:r>
        <w:separator/>
      </w:r>
    </w:p>
  </w:endnote>
  <w:endnote w:type="continuationSeparator" w:id="0">
    <w:p w:rsidR="00EE6FF4" w:rsidRDefault="00EE6FF4"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6D" w:rsidRDefault="00034A6D">
    <w:pPr>
      <w:pStyle w:val="Footer"/>
    </w:pPr>
  </w:p>
  <w:p w:rsidR="00034A6D" w:rsidRDefault="00034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073364"/>
      <w:docPartObj>
        <w:docPartGallery w:val="Page Numbers (Bottom of Page)"/>
        <w:docPartUnique/>
      </w:docPartObj>
    </w:sdtPr>
    <w:sdtEndPr>
      <w:rPr>
        <w:noProof/>
      </w:rPr>
    </w:sdtEndPr>
    <w:sdtContent>
      <w:p w:rsidR="00B470C3" w:rsidRDefault="00B470C3">
        <w:pPr>
          <w:pStyle w:val="Footer"/>
          <w:jc w:val="right"/>
        </w:pPr>
        <w:r>
          <w:fldChar w:fldCharType="begin"/>
        </w:r>
        <w:r>
          <w:instrText xml:space="preserve"> PAGE   \* MERGEFORMAT </w:instrText>
        </w:r>
        <w:r>
          <w:fldChar w:fldCharType="separate"/>
        </w:r>
        <w:r w:rsidR="00340CB9">
          <w:rPr>
            <w:noProof/>
          </w:rPr>
          <w:t>11</w:t>
        </w:r>
        <w:r>
          <w:rPr>
            <w:noProof/>
          </w:rPr>
          <w:fldChar w:fldCharType="end"/>
        </w:r>
      </w:p>
    </w:sdtContent>
  </w:sdt>
  <w:p w:rsidR="00E70FC2" w:rsidRDefault="00E70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FF4" w:rsidRDefault="00EE6FF4" w:rsidP="00774BF2">
      <w:r>
        <w:separator/>
      </w:r>
    </w:p>
  </w:footnote>
  <w:footnote w:type="continuationSeparator" w:id="0">
    <w:p w:rsidR="00EE6FF4" w:rsidRDefault="00EE6FF4" w:rsidP="00774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EA3"/>
    <w:multiLevelType w:val="hybridMultilevel"/>
    <w:tmpl w:val="45EE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E7DB9"/>
    <w:multiLevelType w:val="hybridMultilevel"/>
    <w:tmpl w:val="E9EA7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639E9"/>
    <w:multiLevelType w:val="multilevel"/>
    <w:tmpl w:val="BA3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76B58"/>
    <w:multiLevelType w:val="hybridMultilevel"/>
    <w:tmpl w:val="1F6CF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74627"/>
    <w:multiLevelType w:val="hybridMultilevel"/>
    <w:tmpl w:val="2B000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5303D"/>
    <w:multiLevelType w:val="hybridMultilevel"/>
    <w:tmpl w:val="940A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359B2"/>
    <w:multiLevelType w:val="hybridMultilevel"/>
    <w:tmpl w:val="904AD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A24DA9"/>
    <w:multiLevelType w:val="hybridMultilevel"/>
    <w:tmpl w:val="1A14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1291F"/>
    <w:multiLevelType w:val="multilevel"/>
    <w:tmpl w:val="9F48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BF1266"/>
    <w:multiLevelType w:val="multilevel"/>
    <w:tmpl w:val="283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AD1341"/>
    <w:multiLevelType w:val="hybridMultilevel"/>
    <w:tmpl w:val="6E8C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85211"/>
    <w:multiLevelType w:val="hybridMultilevel"/>
    <w:tmpl w:val="5C2C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5EB47D13"/>
    <w:multiLevelType w:val="hybridMultilevel"/>
    <w:tmpl w:val="2E9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D5341E"/>
    <w:multiLevelType w:val="hybridMultilevel"/>
    <w:tmpl w:val="1BCC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423D8F"/>
    <w:multiLevelType w:val="hybridMultilevel"/>
    <w:tmpl w:val="8B0E2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7A0A3368"/>
    <w:multiLevelType w:val="hybridMultilevel"/>
    <w:tmpl w:val="D87E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12"/>
  </w:num>
  <w:num w:numId="5">
    <w:abstractNumId w:val="14"/>
  </w:num>
  <w:num w:numId="6">
    <w:abstractNumId w:val="19"/>
  </w:num>
  <w:num w:numId="7">
    <w:abstractNumId w:val="11"/>
  </w:num>
  <w:num w:numId="8">
    <w:abstractNumId w:val="29"/>
  </w:num>
  <w:num w:numId="9">
    <w:abstractNumId w:val="30"/>
  </w:num>
  <w:num w:numId="10">
    <w:abstractNumId w:val="5"/>
  </w:num>
  <w:num w:numId="11">
    <w:abstractNumId w:val="34"/>
  </w:num>
  <w:num w:numId="12">
    <w:abstractNumId w:val="25"/>
  </w:num>
  <w:num w:numId="13">
    <w:abstractNumId w:val="33"/>
  </w:num>
  <w:num w:numId="14">
    <w:abstractNumId w:val="4"/>
  </w:num>
  <w:num w:numId="15">
    <w:abstractNumId w:val="24"/>
  </w:num>
  <w:num w:numId="16">
    <w:abstractNumId w:val="13"/>
  </w:num>
  <w:num w:numId="17">
    <w:abstractNumId w:val="23"/>
  </w:num>
  <w:num w:numId="18">
    <w:abstractNumId w:val="13"/>
  </w:num>
  <w:num w:numId="19">
    <w:abstractNumId w:val="16"/>
  </w:num>
  <w:num w:numId="20">
    <w:abstractNumId w:val="6"/>
  </w:num>
  <w:num w:numId="21">
    <w:abstractNumId w:val="7"/>
  </w:num>
  <w:num w:numId="22">
    <w:abstractNumId w:val="1"/>
  </w:num>
  <w:num w:numId="23">
    <w:abstractNumId w:val="31"/>
  </w:num>
  <w:num w:numId="24">
    <w:abstractNumId w:val="22"/>
  </w:num>
  <w:num w:numId="25">
    <w:abstractNumId w:val="3"/>
    <w:lvlOverride w:ilvl="0">
      <w:lvl w:ilvl="0">
        <w:numFmt w:val="lowerLetter"/>
        <w:lvlText w:val="%1."/>
        <w:lvlJc w:val="left"/>
      </w:lvl>
    </w:lvlOverride>
  </w:num>
  <w:num w:numId="26">
    <w:abstractNumId w:val="10"/>
  </w:num>
  <w:num w:numId="27">
    <w:abstractNumId w:val="0"/>
  </w:num>
  <w:num w:numId="28">
    <w:abstractNumId w:val="21"/>
  </w:num>
  <w:num w:numId="29">
    <w:abstractNumId w:val="26"/>
  </w:num>
  <w:num w:numId="30">
    <w:abstractNumId w:val="9"/>
  </w:num>
  <w:num w:numId="31">
    <w:abstractNumId w:val="2"/>
  </w:num>
  <w:num w:numId="32">
    <w:abstractNumId w:val="18"/>
  </w:num>
  <w:num w:numId="33">
    <w:abstractNumId w:val="27"/>
  </w:num>
  <w:num w:numId="34">
    <w:abstractNumId w:val="32"/>
  </w:num>
  <w:num w:numId="35">
    <w:abstractNumId w:val="8"/>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78"/>
    <w:rsid w:val="000106CD"/>
    <w:rsid w:val="00014952"/>
    <w:rsid w:val="00017C9C"/>
    <w:rsid w:val="00034A6D"/>
    <w:rsid w:val="0009677C"/>
    <w:rsid w:val="000A0948"/>
    <w:rsid w:val="000A3549"/>
    <w:rsid w:val="000A55A3"/>
    <w:rsid w:val="000C6E68"/>
    <w:rsid w:val="000D12F4"/>
    <w:rsid w:val="00103A14"/>
    <w:rsid w:val="00115633"/>
    <w:rsid w:val="00121F8F"/>
    <w:rsid w:val="001451D0"/>
    <w:rsid w:val="00151D52"/>
    <w:rsid w:val="00152131"/>
    <w:rsid w:val="00153BA3"/>
    <w:rsid w:val="001558CB"/>
    <w:rsid w:val="0018083C"/>
    <w:rsid w:val="00182F36"/>
    <w:rsid w:val="001873E4"/>
    <w:rsid w:val="001A0274"/>
    <w:rsid w:val="001A44FF"/>
    <w:rsid w:val="001A6459"/>
    <w:rsid w:val="001C225C"/>
    <w:rsid w:val="001D5D44"/>
    <w:rsid w:val="00202B45"/>
    <w:rsid w:val="002045A4"/>
    <w:rsid w:val="00207F40"/>
    <w:rsid w:val="00222410"/>
    <w:rsid w:val="00252680"/>
    <w:rsid w:val="002562B6"/>
    <w:rsid w:val="0025660F"/>
    <w:rsid w:val="0026227E"/>
    <w:rsid w:val="002645C4"/>
    <w:rsid w:val="00271DEA"/>
    <w:rsid w:val="002A1B95"/>
    <w:rsid w:val="0030291A"/>
    <w:rsid w:val="00335572"/>
    <w:rsid w:val="00340CB9"/>
    <w:rsid w:val="0034512D"/>
    <w:rsid w:val="00351F39"/>
    <w:rsid w:val="00354A13"/>
    <w:rsid w:val="00354FC9"/>
    <w:rsid w:val="00376092"/>
    <w:rsid w:val="0038581F"/>
    <w:rsid w:val="0039098E"/>
    <w:rsid w:val="00390AA9"/>
    <w:rsid w:val="0039122F"/>
    <w:rsid w:val="00395C7D"/>
    <w:rsid w:val="003A2B8C"/>
    <w:rsid w:val="003B49F3"/>
    <w:rsid w:val="003B4D66"/>
    <w:rsid w:val="003B564E"/>
    <w:rsid w:val="003C48C8"/>
    <w:rsid w:val="003C4B57"/>
    <w:rsid w:val="003D0237"/>
    <w:rsid w:val="003E61FC"/>
    <w:rsid w:val="00450F8A"/>
    <w:rsid w:val="00456996"/>
    <w:rsid w:val="00465B1A"/>
    <w:rsid w:val="00476E09"/>
    <w:rsid w:val="00497B6F"/>
    <w:rsid w:val="004A0B0A"/>
    <w:rsid w:val="004A0D6D"/>
    <w:rsid w:val="004A2F8D"/>
    <w:rsid w:val="004B0D01"/>
    <w:rsid w:val="004C28B8"/>
    <w:rsid w:val="004D0D3F"/>
    <w:rsid w:val="004F14BD"/>
    <w:rsid w:val="004F324C"/>
    <w:rsid w:val="004F6D75"/>
    <w:rsid w:val="00500BAA"/>
    <w:rsid w:val="005066DE"/>
    <w:rsid w:val="0051783C"/>
    <w:rsid w:val="00545D4A"/>
    <w:rsid w:val="0056182D"/>
    <w:rsid w:val="00562831"/>
    <w:rsid w:val="00572C2B"/>
    <w:rsid w:val="005803DA"/>
    <w:rsid w:val="00586693"/>
    <w:rsid w:val="00586A2C"/>
    <w:rsid w:val="005A6CBB"/>
    <w:rsid w:val="005B4B93"/>
    <w:rsid w:val="0065543F"/>
    <w:rsid w:val="00660634"/>
    <w:rsid w:val="0066327C"/>
    <w:rsid w:val="006735E2"/>
    <w:rsid w:val="0067749F"/>
    <w:rsid w:val="00693AED"/>
    <w:rsid w:val="00716943"/>
    <w:rsid w:val="00720A4E"/>
    <w:rsid w:val="00774BF2"/>
    <w:rsid w:val="00784AFD"/>
    <w:rsid w:val="007A13D7"/>
    <w:rsid w:val="007A3078"/>
    <w:rsid w:val="007C26A5"/>
    <w:rsid w:val="007D30B6"/>
    <w:rsid w:val="007E2E92"/>
    <w:rsid w:val="007E68DB"/>
    <w:rsid w:val="00805F3D"/>
    <w:rsid w:val="0084700C"/>
    <w:rsid w:val="00855854"/>
    <w:rsid w:val="008612BE"/>
    <w:rsid w:val="00867493"/>
    <w:rsid w:val="00884101"/>
    <w:rsid w:val="00885417"/>
    <w:rsid w:val="008A59C4"/>
    <w:rsid w:val="008C2ACB"/>
    <w:rsid w:val="008D785B"/>
    <w:rsid w:val="008E6DAD"/>
    <w:rsid w:val="008E77A6"/>
    <w:rsid w:val="008F07A5"/>
    <w:rsid w:val="00902DE3"/>
    <w:rsid w:val="009065CE"/>
    <w:rsid w:val="00916069"/>
    <w:rsid w:val="00931D19"/>
    <w:rsid w:val="009341F0"/>
    <w:rsid w:val="00935287"/>
    <w:rsid w:val="009424CC"/>
    <w:rsid w:val="00942605"/>
    <w:rsid w:val="00953ED4"/>
    <w:rsid w:val="00953FC7"/>
    <w:rsid w:val="00960463"/>
    <w:rsid w:val="00965536"/>
    <w:rsid w:val="00975DE5"/>
    <w:rsid w:val="00976105"/>
    <w:rsid w:val="00987C0C"/>
    <w:rsid w:val="009A16DF"/>
    <w:rsid w:val="009E62B1"/>
    <w:rsid w:val="00A01CEC"/>
    <w:rsid w:val="00A058B4"/>
    <w:rsid w:val="00A323D8"/>
    <w:rsid w:val="00A36C22"/>
    <w:rsid w:val="00A653E6"/>
    <w:rsid w:val="00A7358E"/>
    <w:rsid w:val="00A74F53"/>
    <w:rsid w:val="00A75DD1"/>
    <w:rsid w:val="00A76969"/>
    <w:rsid w:val="00A96EBE"/>
    <w:rsid w:val="00AA05DA"/>
    <w:rsid w:val="00AA0D0E"/>
    <w:rsid w:val="00AA3493"/>
    <w:rsid w:val="00AA4502"/>
    <w:rsid w:val="00AC01F8"/>
    <w:rsid w:val="00AC39F3"/>
    <w:rsid w:val="00AD08D6"/>
    <w:rsid w:val="00AD2013"/>
    <w:rsid w:val="00AE0361"/>
    <w:rsid w:val="00AE2C0E"/>
    <w:rsid w:val="00AE44C4"/>
    <w:rsid w:val="00AF146C"/>
    <w:rsid w:val="00AF35C6"/>
    <w:rsid w:val="00AF38B7"/>
    <w:rsid w:val="00B22882"/>
    <w:rsid w:val="00B22983"/>
    <w:rsid w:val="00B32A5F"/>
    <w:rsid w:val="00B32D2A"/>
    <w:rsid w:val="00B4278B"/>
    <w:rsid w:val="00B470C3"/>
    <w:rsid w:val="00B55B18"/>
    <w:rsid w:val="00B55D67"/>
    <w:rsid w:val="00B67FBF"/>
    <w:rsid w:val="00B730AF"/>
    <w:rsid w:val="00B95AE8"/>
    <w:rsid w:val="00B95BE3"/>
    <w:rsid w:val="00B96418"/>
    <w:rsid w:val="00BA4F2C"/>
    <w:rsid w:val="00BF046F"/>
    <w:rsid w:val="00C06B7A"/>
    <w:rsid w:val="00C13064"/>
    <w:rsid w:val="00C478E7"/>
    <w:rsid w:val="00C50389"/>
    <w:rsid w:val="00C54491"/>
    <w:rsid w:val="00C60F96"/>
    <w:rsid w:val="00C65A0A"/>
    <w:rsid w:val="00C70E99"/>
    <w:rsid w:val="00C742DB"/>
    <w:rsid w:val="00C9350C"/>
    <w:rsid w:val="00CB3241"/>
    <w:rsid w:val="00CC12F5"/>
    <w:rsid w:val="00CC6596"/>
    <w:rsid w:val="00CD2C60"/>
    <w:rsid w:val="00CE6CE9"/>
    <w:rsid w:val="00CF2234"/>
    <w:rsid w:val="00D03428"/>
    <w:rsid w:val="00D073E0"/>
    <w:rsid w:val="00D11590"/>
    <w:rsid w:val="00D11A13"/>
    <w:rsid w:val="00D36B6B"/>
    <w:rsid w:val="00D50FB1"/>
    <w:rsid w:val="00D561CF"/>
    <w:rsid w:val="00D95214"/>
    <w:rsid w:val="00D953F1"/>
    <w:rsid w:val="00DA2C27"/>
    <w:rsid w:val="00DC34B1"/>
    <w:rsid w:val="00DE5AD9"/>
    <w:rsid w:val="00DE7C23"/>
    <w:rsid w:val="00E178BF"/>
    <w:rsid w:val="00E22F88"/>
    <w:rsid w:val="00E300A8"/>
    <w:rsid w:val="00E3045B"/>
    <w:rsid w:val="00E40032"/>
    <w:rsid w:val="00E45A8B"/>
    <w:rsid w:val="00E70FC2"/>
    <w:rsid w:val="00E758AB"/>
    <w:rsid w:val="00E77516"/>
    <w:rsid w:val="00E83807"/>
    <w:rsid w:val="00EA1319"/>
    <w:rsid w:val="00ED012E"/>
    <w:rsid w:val="00ED2A25"/>
    <w:rsid w:val="00EE6FF4"/>
    <w:rsid w:val="00EF1E8E"/>
    <w:rsid w:val="00F14257"/>
    <w:rsid w:val="00F1433B"/>
    <w:rsid w:val="00F31F3F"/>
    <w:rsid w:val="00F44FAD"/>
    <w:rsid w:val="00F468B2"/>
    <w:rsid w:val="00F52057"/>
    <w:rsid w:val="00F53D50"/>
    <w:rsid w:val="00F57421"/>
    <w:rsid w:val="00F948BF"/>
    <w:rsid w:val="00FB0DF8"/>
    <w:rsid w:val="00FB143D"/>
    <w:rsid w:val="00FB3BB6"/>
    <w:rsid w:val="00FD3D3E"/>
    <w:rsid w:val="00FD40AA"/>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A058B4"/>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paragraph" w:styleId="NormalWeb">
    <w:name w:val="Normal (Web)"/>
    <w:basedOn w:val="Normal"/>
    <w:uiPriority w:val="99"/>
    <w:unhideWhenUsed/>
    <w:rsid w:val="00034A6D"/>
    <w:pPr>
      <w:widowControl/>
      <w:spacing w:before="100" w:beforeAutospacing="1" w:after="100" w:afterAutospacing="1"/>
    </w:pPr>
    <w:rPr>
      <w:rFonts w:eastAsia="Times New Roman"/>
      <w:kern w:val="0"/>
      <w:lang w:eastAsia="en-US"/>
    </w:rPr>
  </w:style>
  <w:style w:type="character" w:styleId="FollowedHyperlink">
    <w:name w:val="FollowedHyperlink"/>
    <w:basedOn w:val="DefaultParagraphFont"/>
    <w:uiPriority w:val="99"/>
    <w:semiHidden/>
    <w:unhideWhenUsed/>
    <w:rsid w:val="001873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A058B4"/>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paragraph" w:styleId="NormalWeb">
    <w:name w:val="Normal (Web)"/>
    <w:basedOn w:val="Normal"/>
    <w:uiPriority w:val="99"/>
    <w:unhideWhenUsed/>
    <w:rsid w:val="00034A6D"/>
    <w:pPr>
      <w:widowControl/>
      <w:spacing w:before="100" w:beforeAutospacing="1" w:after="100" w:afterAutospacing="1"/>
    </w:pPr>
    <w:rPr>
      <w:rFonts w:eastAsia="Times New Roman"/>
      <w:kern w:val="0"/>
      <w:lang w:eastAsia="en-US"/>
    </w:rPr>
  </w:style>
  <w:style w:type="character" w:styleId="FollowedHyperlink">
    <w:name w:val="FollowedHyperlink"/>
    <w:basedOn w:val="DefaultParagraphFont"/>
    <w:uiPriority w:val="99"/>
    <w:semiHidden/>
    <w:unhideWhenUsed/>
    <w:rsid w:val="00187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3748">
      <w:bodyDiv w:val="1"/>
      <w:marLeft w:val="0"/>
      <w:marRight w:val="0"/>
      <w:marTop w:val="0"/>
      <w:marBottom w:val="0"/>
      <w:divBdr>
        <w:top w:val="none" w:sz="0" w:space="0" w:color="auto"/>
        <w:left w:val="none" w:sz="0" w:space="0" w:color="auto"/>
        <w:bottom w:val="none" w:sz="0" w:space="0" w:color="auto"/>
        <w:right w:val="none" w:sz="0" w:space="0" w:color="auto"/>
      </w:divBdr>
    </w:div>
    <w:div w:id="545415349">
      <w:bodyDiv w:val="1"/>
      <w:marLeft w:val="0"/>
      <w:marRight w:val="0"/>
      <w:marTop w:val="0"/>
      <w:marBottom w:val="0"/>
      <w:divBdr>
        <w:top w:val="none" w:sz="0" w:space="0" w:color="auto"/>
        <w:left w:val="none" w:sz="0" w:space="0" w:color="auto"/>
        <w:bottom w:val="none" w:sz="0" w:space="0" w:color="auto"/>
        <w:right w:val="none" w:sz="0" w:space="0" w:color="auto"/>
      </w:divBdr>
    </w:div>
    <w:div w:id="625239872">
      <w:bodyDiv w:val="1"/>
      <w:marLeft w:val="0"/>
      <w:marRight w:val="0"/>
      <w:marTop w:val="0"/>
      <w:marBottom w:val="0"/>
      <w:divBdr>
        <w:top w:val="none" w:sz="0" w:space="0" w:color="auto"/>
        <w:left w:val="none" w:sz="0" w:space="0" w:color="auto"/>
        <w:bottom w:val="none" w:sz="0" w:space="0" w:color="auto"/>
        <w:right w:val="none" w:sz="0" w:space="0" w:color="auto"/>
      </w:divBdr>
    </w:div>
    <w:div w:id="855462482">
      <w:bodyDiv w:val="1"/>
      <w:marLeft w:val="0"/>
      <w:marRight w:val="0"/>
      <w:marTop w:val="0"/>
      <w:marBottom w:val="0"/>
      <w:divBdr>
        <w:top w:val="none" w:sz="0" w:space="0" w:color="auto"/>
        <w:left w:val="none" w:sz="0" w:space="0" w:color="auto"/>
        <w:bottom w:val="none" w:sz="0" w:space="0" w:color="auto"/>
        <w:right w:val="none" w:sz="0" w:space="0" w:color="auto"/>
      </w:divBdr>
    </w:div>
    <w:div w:id="894314427">
      <w:bodyDiv w:val="1"/>
      <w:marLeft w:val="0"/>
      <w:marRight w:val="0"/>
      <w:marTop w:val="0"/>
      <w:marBottom w:val="0"/>
      <w:divBdr>
        <w:top w:val="none" w:sz="0" w:space="0" w:color="auto"/>
        <w:left w:val="none" w:sz="0" w:space="0" w:color="auto"/>
        <w:bottom w:val="none" w:sz="0" w:space="0" w:color="auto"/>
        <w:right w:val="none" w:sz="0" w:space="0" w:color="auto"/>
      </w:divBdr>
    </w:div>
    <w:div w:id="1232928778">
      <w:bodyDiv w:val="1"/>
      <w:marLeft w:val="0"/>
      <w:marRight w:val="0"/>
      <w:marTop w:val="0"/>
      <w:marBottom w:val="0"/>
      <w:divBdr>
        <w:top w:val="none" w:sz="0" w:space="0" w:color="auto"/>
        <w:left w:val="none" w:sz="0" w:space="0" w:color="auto"/>
        <w:bottom w:val="none" w:sz="0" w:space="0" w:color="auto"/>
        <w:right w:val="none" w:sz="0" w:space="0" w:color="auto"/>
      </w:divBdr>
    </w:div>
    <w:div w:id="1671132805">
      <w:bodyDiv w:val="1"/>
      <w:marLeft w:val="0"/>
      <w:marRight w:val="0"/>
      <w:marTop w:val="0"/>
      <w:marBottom w:val="0"/>
      <w:divBdr>
        <w:top w:val="none" w:sz="0" w:space="0" w:color="auto"/>
        <w:left w:val="none" w:sz="0" w:space="0" w:color="auto"/>
        <w:bottom w:val="none" w:sz="0" w:space="0" w:color="auto"/>
        <w:right w:val="none" w:sz="0" w:space="0" w:color="auto"/>
      </w:divBdr>
    </w:div>
    <w:div w:id="1793596610">
      <w:bodyDiv w:val="1"/>
      <w:marLeft w:val="0"/>
      <w:marRight w:val="0"/>
      <w:marTop w:val="0"/>
      <w:marBottom w:val="0"/>
      <w:divBdr>
        <w:top w:val="none" w:sz="0" w:space="0" w:color="auto"/>
        <w:left w:val="none" w:sz="0" w:space="0" w:color="auto"/>
        <w:bottom w:val="none" w:sz="0" w:space="0" w:color="auto"/>
        <w:right w:val="none" w:sz="0" w:space="0" w:color="auto"/>
      </w:divBdr>
    </w:div>
    <w:div w:id="1897274369">
      <w:bodyDiv w:val="1"/>
      <w:marLeft w:val="0"/>
      <w:marRight w:val="0"/>
      <w:marTop w:val="0"/>
      <w:marBottom w:val="0"/>
      <w:divBdr>
        <w:top w:val="none" w:sz="0" w:space="0" w:color="auto"/>
        <w:left w:val="none" w:sz="0" w:space="0" w:color="auto"/>
        <w:bottom w:val="none" w:sz="0" w:space="0" w:color="auto"/>
        <w:right w:val="none" w:sz="0" w:space="0" w:color="auto"/>
      </w:divBdr>
    </w:div>
    <w:div w:id="1924606677">
      <w:bodyDiv w:val="1"/>
      <w:marLeft w:val="0"/>
      <w:marRight w:val="0"/>
      <w:marTop w:val="0"/>
      <w:marBottom w:val="0"/>
      <w:divBdr>
        <w:top w:val="none" w:sz="0" w:space="0" w:color="auto"/>
        <w:left w:val="none" w:sz="0" w:space="0" w:color="auto"/>
        <w:bottom w:val="none" w:sz="0" w:space="0" w:color="auto"/>
        <w:right w:val="none" w:sz="0" w:space="0" w:color="auto"/>
      </w:divBdr>
    </w:div>
    <w:div w:id="1942570924">
      <w:bodyDiv w:val="1"/>
      <w:marLeft w:val="0"/>
      <w:marRight w:val="0"/>
      <w:marTop w:val="0"/>
      <w:marBottom w:val="0"/>
      <w:divBdr>
        <w:top w:val="none" w:sz="0" w:space="0" w:color="auto"/>
        <w:left w:val="none" w:sz="0" w:space="0" w:color="auto"/>
        <w:bottom w:val="none" w:sz="0" w:space="0" w:color="auto"/>
        <w:right w:val="none" w:sz="0" w:space="0" w:color="auto"/>
      </w:divBdr>
    </w:div>
    <w:div w:id="1966157408">
      <w:bodyDiv w:val="1"/>
      <w:marLeft w:val="0"/>
      <w:marRight w:val="0"/>
      <w:marTop w:val="0"/>
      <w:marBottom w:val="0"/>
      <w:divBdr>
        <w:top w:val="none" w:sz="0" w:space="0" w:color="auto"/>
        <w:left w:val="none" w:sz="0" w:space="0" w:color="auto"/>
        <w:bottom w:val="none" w:sz="0" w:space="0" w:color="auto"/>
        <w:right w:val="none" w:sz="0" w:space="0" w:color="auto"/>
      </w:divBdr>
    </w:div>
    <w:div w:id="20411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crl.org/sim/brochures/CEoverview.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6A670-B5BE-4C00-82E7-86943A62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1626</Words>
  <Characters>8699</Characters>
  <Application>Microsoft Office Word</Application>
  <DocSecurity>0</DocSecurity>
  <Lines>289</Lines>
  <Paragraphs>117</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10252</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pgx12977</cp:lastModifiedBy>
  <cp:revision>20</cp:revision>
  <cp:lastPrinted>2014-06-16T14:34:00Z</cp:lastPrinted>
  <dcterms:created xsi:type="dcterms:W3CDTF">2018-07-26T20:52:00Z</dcterms:created>
  <dcterms:modified xsi:type="dcterms:W3CDTF">2018-12-17T20:15:00Z</dcterms:modified>
</cp:coreProperties>
</file>