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18F1" w14:textId="4117FD7E" w:rsidR="00562831" w:rsidRPr="00A058B4" w:rsidRDefault="009B3DDA" w:rsidP="009341F0">
      <w:pPr>
        <w:pStyle w:val="Heading1"/>
      </w:pPr>
      <w:r>
        <w:t xml:space="preserve">Solving </w:t>
      </w:r>
      <w:r w:rsidR="001B2839">
        <w:t>Inequalities</w:t>
      </w:r>
      <w:r w:rsidR="00BF046F">
        <w:t xml:space="preserve"> </w:t>
      </w:r>
      <w:r w:rsidR="003978F7" w:rsidRPr="00B3634B">
        <w:t>–</w:t>
      </w:r>
      <w:r w:rsidR="003978F7">
        <w:t xml:space="preserve"> </w:t>
      </w:r>
      <w:r w:rsidR="00BF046F">
        <w:t>A</w:t>
      </w:r>
      <w:r w:rsidR="00562831" w:rsidRPr="00A058B4">
        <w:t xml:space="preserve"> Co-</w:t>
      </w:r>
      <w:r w:rsidR="00562831" w:rsidRPr="009341F0">
        <w:t>Teaching</w:t>
      </w:r>
      <w:r w:rsidR="00562831" w:rsidRPr="00A058B4">
        <w:t xml:space="preserve"> Lesson Plan </w:t>
      </w:r>
    </w:p>
    <w:p w14:paraId="025FAE0C" w14:textId="77777777" w:rsidR="00A653E6" w:rsidRDefault="00A653E6" w:rsidP="009341F0">
      <w:pPr>
        <w:jc w:val="both"/>
      </w:pPr>
    </w:p>
    <w:p w14:paraId="2BA4A354" w14:textId="77777777" w:rsidR="002A1B95" w:rsidRDefault="002A1B95" w:rsidP="009341F0">
      <w:pPr>
        <w:jc w:val="both"/>
        <w:rPr>
          <w:b/>
        </w:rPr>
        <w:sectPr w:rsidR="002A1B95" w:rsidSect="00B3634B">
          <w:footerReference w:type="default" r:id="rId8"/>
          <w:pgSz w:w="15840" w:h="12240" w:orient="landscape"/>
          <w:pgMar w:top="1440" w:right="1440" w:bottom="1440" w:left="1440" w:header="720" w:footer="720" w:gutter="0"/>
          <w:cols w:space="720"/>
          <w:noEndnote/>
          <w:docGrid w:linePitch="326"/>
        </w:sectPr>
      </w:pPr>
    </w:p>
    <w:p w14:paraId="661AA45C" w14:textId="77777777" w:rsidR="00BF046F" w:rsidRDefault="00BF046F" w:rsidP="00BF046F">
      <w:pPr>
        <w:pStyle w:val="Heading2"/>
      </w:pPr>
      <w:r w:rsidRPr="003B4D66">
        <w:t>Co-Teaching Approach</w:t>
      </w:r>
      <w:r>
        <w:t xml:space="preserve">es </w:t>
      </w:r>
    </w:p>
    <w:p w14:paraId="759542A3" w14:textId="4DCEE3ED" w:rsidR="00EE4761" w:rsidRPr="00EE4761" w:rsidRDefault="00BF046F" w:rsidP="00EE4761">
      <w:pPr>
        <w:pStyle w:val="Normal1"/>
        <w:sectPr w:rsidR="00EE4761" w:rsidRPr="00EE4761" w:rsidSect="002C5469">
          <w:type w:val="continuous"/>
          <w:pgSz w:w="15840" w:h="12240" w:orient="landscape"/>
          <w:pgMar w:top="1440" w:right="990" w:bottom="1440" w:left="1440" w:header="0" w:footer="720" w:gutter="0"/>
          <w:cols w:space="720"/>
          <w:docGrid w:linePitch="326"/>
        </w:sectPr>
      </w:pPr>
      <w:r w:rsidRPr="00F14257">
        <w:t xml:space="preserve">A </w:t>
      </w:r>
      <w:r>
        <w:t>“</w:t>
      </w:r>
      <w:r w:rsidRPr="00F14257">
        <w:t>(</w:t>
      </w:r>
      <w:r>
        <w:t>Y</w:t>
      </w:r>
      <w:r w:rsidRPr="00F14257">
        <w:t>)</w:t>
      </w:r>
      <w:r>
        <w:t>”</w:t>
      </w:r>
      <w:r w:rsidR="003978F7">
        <w:t xml:space="preserve"> </w:t>
      </w:r>
      <w:r>
        <w:t xml:space="preserve">in front of the following list items </w:t>
      </w:r>
      <w:r w:rsidRPr="00F14257">
        <w:t xml:space="preserve">indicates the approach </w:t>
      </w:r>
      <w:r>
        <w:t>is outlined in the lesson. A</w:t>
      </w:r>
      <w:r w:rsidR="003978F7">
        <w:t xml:space="preserve">n </w:t>
      </w:r>
      <w:r>
        <w:t>“(N)”</w:t>
      </w:r>
      <w:r w:rsidR="003978F7">
        <w:t xml:space="preserve"> </w:t>
      </w:r>
      <w:r>
        <w:t>in front of the following list items indicates the approach is not outlined in the lesson.</w:t>
      </w:r>
      <w:r w:rsidR="00EE4761" w:rsidRPr="00EE4761">
        <w:t xml:space="preserve"> </w:t>
      </w:r>
    </w:p>
    <w:p w14:paraId="7A2A6158" w14:textId="3C5A3545" w:rsidR="00EE4761" w:rsidRPr="00EE4761" w:rsidRDefault="00EE4761" w:rsidP="00EE4761">
      <w:pPr>
        <w:numPr>
          <w:ilvl w:val="0"/>
          <w:numId w:val="31"/>
        </w:numPr>
        <w:pBdr>
          <w:top w:val="nil"/>
          <w:left w:val="nil"/>
          <w:bottom w:val="nil"/>
          <w:right w:val="nil"/>
          <w:between w:val="nil"/>
        </w:pBdr>
        <w:ind w:right="-3840"/>
        <w:contextualSpacing/>
        <w:rPr>
          <w:rFonts w:eastAsia="Times New Roman"/>
          <w:color w:val="000000"/>
          <w:kern w:val="0"/>
          <w:lang w:eastAsia="en-US"/>
        </w:rPr>
      </w:pPr>
      <w:r w:rsidRPr="00EE4761">
        <w:rPr>
          <w:rFonts w:eastAsia="Times New Roman"/>
          <w:color w:val="000000"/>
          <w:kern w:val="0"/>
          <w:lang w:eastAsia="en-US"/>
        </w:rPr>
        <w:t>(</w:t>
      </w:r>
      <w:r>
        <w:rPr>
          <w:rFonts w:eastAsia="Times New Roman"/>
          <w:color w:val="000000"/>
          <w:kern w:val="0"/>
          <w:lang w:eastAsia="en-US"/>
        </w:rPr>
        <w:t>Y</w:t>
      </w:r>
      <w:r w:rsidRPr="00EE4761">
        <w:rPr>
          <w:rFonts w:eastAsia="Times New Roman"/>
          <w:color w:val="000000"/>
          <w:kern w:val="0"/>
          <w:lang w:eastAsia="en-US"/>
        </w:rPr>
        <w:t>) Parallel Teaching</w:t>
      </w:r>
    </w:p>
    <w:p w14:paraId="46E5702B" w14:textId="77777777" w:rsidR="00EE4761" w:rsidRPr="00EE4761" w:rsidRDefault="00EE4761" w:rsidP="00EE4761">
      <w:pPr>
        <w:numPr>
          <w:ilvl w:val="0"/>
          <w:numId w:val="31"/>
        </w:numPr>
        <w:pBdr>
          <w:top w:val="nil"/>
          <w:left w:val="nil"/>
          <w:bottom w:val="nil"/>
          <w:right w:val="nil"/>
          <w:between w:val="nil"/>
        </w:pBdr>
        <w:ind w:right="-3840"/>
        <w:contextualSpacing/>
        <w:rPr>
          <w:rFonts w:eastAsia="Times New Roman"/>
          <w:color w:val="000000"/>
          <w:kern w:val="0"/>
          <w:lang w:eastAsia="en-US"/>
        </w:rPr>
      </w:pPr>
      <w:r w:rsidRPr="00EE4761">
        <w:rPr>
          <w:rFonts w:eastAsia="Times New Roman"/>
          <w:color w:val="000000"/>
          <w:kern w:val="0"/>
          <w:lang w:eastAsia="en-US"/>
        </w:rPr>
        <w:t>(Y) Team Teaching</w:t>
      </w:r>
    </w:p>
    <w:p w14:paraId="6B0CFD8E" w14:textId="77777777" w:rsidR="00EE4761" w:rsidRPr="00EE4761" w:rsidRDefault="00EE4761" w:rsidP="00EE4761">
      <w:pPr>
        <w:numPr>
          <w:ilvl w:val="0"/>
          <w:numId w:val="31"/>
        </w:numPr>
        <w:pBdr>
          <w:top w:val="nil"/>
          <w:left w:val="nil"/>
          <w:bottom w:val="nil"/>
          <w:right w:val="nil"/>
          <w:between w:val="nil"/>
        </w:pBdr>
        <w:ind w:right="-3840"/>
        <w:contextualSpacing/>
        <w:rPr>
          <w:rFonts w:eastAsia="Times New Roman"/>
          <w:b/>
          <w:color w:val="000000"/>
          <w:kern w:val="0"/>
          <w:lang w:eastAsia="en-US"/>
        </w:rPr>
      </w:pPr>
      <w:r w:rsidRPr="00EE4761">
        <w:rPr>
          <w:rFonts w:eastAsia="Times New Roman"/>
          <w:color w:val="000000"/>
          <w:kern w:val="0"/>
          <w:lang w:eastAsia="en-US"/>
        </w:rPr>
        <w:t>(N) Station Teaching</w:t>
      </w:r>
    </w:p>
    <w:p w14:paraId="6C682BEA" w14:textId="77777777" w:rsidR="00EE4761" w:rsidRPr="00EE4761" w:rsidRDefault="00EE4761" w:rsidP="00EE4761">
      <w:pPr>
        <w:numPr>
          <w:ilvl w:val="0"/>
          <w:numId w:val="31"/>
        </w:numPr>
        <w:pBdr>
          <w:top w:val="nil"/>
          <w:left w:val="nil"/>
          <w:bottom w:val="nil"/>
          <w:right w:val="nil"/>
          <w:between w:val="nil"/>
        </w:pBdr>
        <w:ind w:right="-3840"/>
        <w:contextualSpacing/>
        <w:rPr>
          <w:rFonts w:eastAsia="Times New Roman"/>
          <w:color w:val="000000"/>
          <w:kern w:val="0"/>
          <w:lang w:eastAsia="en-US"/>
        </w:rPr>
      </w:pPr>
      <w:r w:rsidRPr="00EE4761">
        <w:rPr>
          <w:rFonts w:eastAsia="Times New Roman"/>
          <w:color w:val="000000"/>
          <w:kern w:val="0"/>
          <w:lang w:eastAsia="en-US"/>
        </w:rPr>
        <w:t>(N) One Teach/One Observe</w:t>
      </w:r>
    </w:p>
    <w:p w14:paraId="7369AF9C" w14:textId="686BFD13" w:rsidR="00EE4761" w:rsidRPr="00EE4761" w:rsidRDefault="00EE4761" w:rsidP="00EE4761">
      <w:pPr>
        <w:numPr>
          <w:ilvl w:val="0"/>
          <w:numId w:val="31"/>
        </w:numPr>
        <w:pBdr>
          <w:top w:val="nil"/>
          <w:left w:val="nil"/>
          <w:bottom w:val="nil"/>
          <w:right w:val="nil"/>
          <w:between w:val="nil"/>
        </w:pBdr>
        <w:ind w:right="-3840"/>
        <w:contextualSpacing/>
        <w:rPr>
          <w:rFonts w:eastAsia="Times New Roman"/>
          <w:color w:val="000000"/>
          <w:kern w:val="0"/>
          <w:lang w:eastAsia="en-US"/>
        </w:rPr>
      </w:pPr>
      <w:r w:rsidRPr="00EE4761">
        <w:rPr>
          <w:rFonts w:eastAsia="Times New Roman"/>
          <w:color w:val="000000"/>
          <w:kern w:val="0"/>
          <w:lang w:eastAsia="en-US"/>
        </w:rPr>
        <w:t>(</w:t>
      </w:r>
      <w:r>
        <w:rPr>
          <w:rFonts w:eastAsia="Times New Roman"/>
          <w:color w:val="000000"/>
          <w:kern w:val="0"/>
          <w:lang w:eastAsia="en-US"/>
        </w:rPr>
        <w:t>N</w:t>
      </w:r>
      <w:r w:rsidRPr="00EE4761">
        <w:rPr>
          <w:rFonts w:eastAsia="Times New Roman"/>
          <w:color w:val="000000"/>
          <w:kern w:val="0"/>
          <w:lang w:eastAsia="en-US"/>
        </w:rPr>
        <w:t>) Alternative Teaching</w:t>
      </w:r>
    </w:p>
    <w:p w14:paraId="3882DA66" w14:textId="41CF6C2C" w:rsidR="00EE4761" w:rsidRPr="00EE4761" w:rsidRDefault="00EE4761" w:rsidP="00EE4761">
      <w:pPr>
        <w:numPr>
          <w:ilvl w:val="0"/>
          <w:numId w:val="31"/>
        </w:numPr>
        <w:pBdr>
          <w:top w:val="nil"/>
          <w:left w:val="nil"/>
          <w:bottom w:val="nil"/>
          <w:right w:val="nil"/>
          <w:between w:val="nil"/>
        </w:pBdr>
        <w:ind w:right="-3840"/>
        <w:contextualSpacing/>
        <w:rPr>
          <w:rFonts w:eastAsia="Times New Roman"/>
          <w:color w:val="000000"/>
          <w:kern w:val="0"/>
          <w:lang w:eastAsia="en-US"/>
        </w:rPr>
      </w:pPr>
      <w:r w:rsidRPr="00EE4761">
        <w:rPr>
          <w:rFonts w:eastAsia="Times New Roman"/>
          <w:color w:val="000000"/>
          <w:kern w:val="0"/>
          <w:lang w:eastAsia="en-US"/>
        </w:rPr>
        <w:t>(</w:t>
      </w:r>
      <w:r>
        <w:rPr>
          <w:rFonts w:eastAsia="Times New Roman"/>
          <w:color w:val="000000"/>
          <w:kern w:val="0"/>
          <w:lang w:eastAsia="en-US"/>
        </w:rPr>
        <w:t>Y</w:t>
      </w:r>
      <w:r w:rsidRPr="00EE4761">
        <w:rPr>
          <w:rFonts w:eastAsia="Times New Roman"/>
          <w:color w:val="000000"/>
          <w:kern w:val="0"/>
          <w:lang w:eastAsia="en-US"/>
        </w:rPr>
        <w:t xml:space="preserve">) One Teach/One Assist </w:t>
      </w:r>
    </w:p>
    <w:p w14:paraId="0F015619" w14:textId="77777777" w:rsidR="00EE4761" w:rsidRPr="00EE4761" w:rsidRDefault="00EE4761" w:rsidP="00EE4761">
      <w:pPr>
        <w:pBdr>
          <w:top w:val="nil"/>
          <w:left w:val="nil"/>
          <w:bottom w:val="nil"/>
          <w:right w:val="nil"/>
          <w:between w:val="nil"/>
        </w:pBdr>
        <w:spacing w:after="240"/>
        <w:ind w:right="-3845"/>
        <w:rPr>
          <w:rFonts w:eastAsia="Times New Roman"/>
          <w:color w:val="000000"/>
          <w:kern w:val="0"/>
          <w:lang w:eastAsia="en-US"/>
        </w:rPr>
        <w:sectPr w:rsidR="00EE4761" w:rsidRPr="00EE4761" w:rsidSect="003F2FB4">
          <w:type w:val="continuous"/>
          <w:pgSz w:w="15840" w:h="12240" w:orient="landscape"/>
          <w:pgMar w:top="1440" w:right="990" w:bottom="1440" w:left="1440" w:header="0" w:footer="720" w:gutter="0"/>
          <w:cols w:num="3" w:space="720" w:equalWidth="0">
            <w:col w:w="2640" w:space="720"/>
            <w:col w:w="3065" w:space="720"/>
            <w:col w:w="2215" w:space="0"/>
          </w:cols>
          <w:docGrid w:linePitch="326"/>
        </w:sectPr>
      </w:pPr>
    </w:p>
    <w:p w14:paraId="4150A4CB" w14:textId="77777777" w:rsidR="00EE4761" w:rsidRPr="00EE4761" w:rsidRDefault="00EE4761" w:rsidP="00EE4761">
      <w:pPr>
        <w:pBdr>
          <w:top w:val="nil"/>
          <w:left w:val="nil"/>
          <w:bottom w:val="nil"/>
          <w:right w:val="nil"/>
          <w:between w:val="nil"/>
        </w:pBdr>
        <w:rPr>
          <w:rFonts w:eastAsia="Times New Roman"/>
          <w:color w:val="000000"/>
          <w:kern w:val="0"/>
          <w:lang w:eastAsia="en-US"/>
        </w:rPr>
      </w:pPr>
    </w:p>
    <w:p w14:paraId="19B5E0EC" w14:textId="506497E0" w:rsidR="003978F7" w:rsidRDefault="00EE4761" w:rsidP="003978F7">
      <w:pPr>
        <w:pStyle w:val="Normal1"/>
        <w:numPr>
          <w:ilvl w:val="0"/>
          <w:numId w:val="8"/>
        </w:numPr>
        <w:ind w:right="-3845"/>
        <w:contextualSpacing/>
      </w:pPr>
      <w:r w:rsidDel="00EE4761">
        <w:t xml:space="preserve"> </w:t>
      </w:r>
      <w:r w:rsidR="003978F7">
        <w:t>(Y) Parallel Teaching</w:t>
      </w:r>
    </w:p>
    <w:p w14:paraId="71827F25" w14:textId="77777777" w:rsidR="003978F7" w:rsidRDefault="003978F7" w:rsidP="003978F7">
      <w:pPr>
        <w:pStyle w:val="Normal1"/>
        <w:numPr>
          <w:ilvl w:val="0"/>
          <w:numId w:val="8"/>
        </w:numPr>
        <w:ind w:right="-3840"/>
        <w:contextualSpacing/>
      </w:pPr>
      <w:r>
        <w:t>(Y) Team Teaching</w:t>
      </w:r>
    </w:p>
    <w:p w14:paraId="36549E3C" w14:textId="69454A9C" w:rsidR="003978F7" w:rsidRDefault="003978F7" w:rsidP="00B3634B">
      <w:pPr>
        <w:pStyle w:val="Normal1"/>
        <w:numPr>
          <w:ilvl w:val="0"/>
          <w:numId w:val="8"/>
        </w:numPr>
        <w:ind w:left="360" w:right="-3840"/>
        <w:contextualSpacing/>
        <w:rPr>
          <w:b/>
        </w:rPr>
      </w:pPr>
      <w:r>
        <w:t>(Y) Station Teaching</w:t>
      </w:r>
    </w:p>
    <w:p w14:paraId="67473DEF" w14:textId="77777777" w:rsidR="003978F7" w:rsidRDefault="003978F7" w:rsidP="00B3634B">
      <w:pPr>
        <w:pStyle w:val="Normal1"/>
        <w:numPr>
          <w:ilvl w:val="0"/>
          <w:numId w:val="8"/>
        </w:numPr>
        <w:ind w:left="360" w:right="-3840"/>
        <w:contextualSpacing/>
      </w:pPr>
      <w:r>
        <w:t>(N) One Teach/One Observe</w:t>
      </w:r>
    </w:p>
    <w:p w14:paraId="331FE75F" w14:textId="6091F55C" w:rsidR="003978F7" w:rsidRDefault="003978F7" w:rsidP="00B3634B">
      <w:pPr>
        <w:pStyle w:val="Normal1"/>
        <w:numPr>
          <w:ilvl w:val="0"/>
          <w:numId w:val="8"/>
        </w:numPr>
        <w:ind w:left="360" w:right="-3840"/>
        <w:contextualSpacing/>
      </w:pPr>
      <w:r>
        <w:t>(N) Alternative Teaching</w:t>
      </w:r>
    </w:p>
    <w:p w14:paraId="0AEE4423" w14:textId="78908996" w:rsidR="00BF046F" w:rsidRDefault="003978F7" w:rsidP="00B3634B">
      <w:pPr>
        <w:pStyle w:val="ListParagraph"/>
        <w:numPr>
          <w:ilvl w:val="0"/>
          <w:numId w:val="8"/>
        </w:numPr>
        <w:ind w:left="360"/>
      </w:pPr>
      <w:r>
        <w:t>(Y) One Teach/One Assist</w:t>
      </w:r>
      <w:r w:rsidDel="003978F7">
        <w:t xml:space="preserve"> </w:t>
      </w:r>
      <w:r w:rsidR="00BF046F" w:rsidRPr="003B4D66">
        <w:t xml:space="preserve"> </w:t>
      </w:r>
    </w:p>
    <w:p w14:paraId="71B8B506" w14:textId="77777777" w:rsidR="00BF046F" w:rsidRDefault="00BF046F" w:rsidP="0066327C">
      <w:pPr>
        <w:spacing w:after="240"/>
        <w:sectPr w:rsidR="00BF046F" w:rsidSect="00B3634B">
          <w:type w:val="continuous"/>
          <w:pgSz w:w="15840" w:h="12240" w:orient="landscape"/>
          <w:pgMar w:top="1440" w:right="1440" w:bottom="1440" w:left="1440" w:header="720" w:footer="720" w:gutter="0"/>
          <w:cols w:num="3" w:space="720" w:equalWidth="0">
            <w:col w:w="9360" w:space="-1"/>
            <w:col w:w="-1" w:space="-1"/>
            <w:col w:w="-1"/>
          </w:cols>
          <w:noEndnote/>
          <w:docGrid w:linePitch="326"/>
        </w:sectPr>
      </w:pPr>
    </w:p>
    <w:p w14:paraId="1AF9E784" w14:textId="77777777" w:rsidR="00EE4761" w:rsidRPr="00B3634B" w:rsidRDefault="00EE4761" w:rsidP="00B3634B"/>
    <w:p w14:paraId="30861CB3" w14:textId="77777777" w:rsidR="00354FC9" w:rsidRPr="00A058B4" w:rsidRDefault="00E3045B" w:rsidP="00A058B4">
      <w:pPr>
        <w:pStyle w:val="Heading2"/>
      </w:pPr>
      <w:r w:rsidRPr="00A058B4">
        <w:t>Subject</w:t>
      </w:r>
    </w:p>
    <w:p w14:paraId="2407CAB5" w14:textId="5BFB283E" w:rsidR="00E3045B" w:rsidRPr="003B4D66" w:rsidRDefault="00574CFE" w:rsidP="00354FC9">
      <w:r>
        <w:t xml:space="preserve">Grade </w:t>
      </w:r>
      <w:r w:rsidR="00E85668">
        <w:t>7</w:t>
      </w:r>
      <w:r w:rsidR="001B2839">
        <w:t xml:space="preserve"> </w:t>
      </w:r>
      <w:r>
        <w:t>Mathematics</w:t>
      </w:r>
    </w:p>
    <w:p w14:paraId="59F846C3" w14:textId="4D43A9F7" w:rsidR="002562B6" w:rsidRPr="00A058B4" w:rsidRDefault="002562B6" w:rsidP="00B3634B">
      <w:pPr>
        <w:pStyle w:val="Heading2"/>
        <w:spacing w:before="240"/>
      </w:pPr>
      <w:r>
        <w:t>Strand</w:t>
      </w:r>
    </w:p>
    <w:p w14:paraId="24BF8BD8" w14:textId="77777777" w:rsidR="002562B6" w:rsidRPr="003B4D66" w:rsidRDefault="00D357EC" w:rsidP="002562B6">
      <w:r>
        <w:t>Patterns, Functions, and Algebra</w:t>
      </w:r>
    </w:p>
    <w:p w14:paraId="28FEAD34" w14:textId="37DC4199" w:rsidR="00354FC9" w:rsidRDefault="00354FC9" w:rsidP="00B3634B">
      <w:pPr>
        <w:pStyle w:val="Heading2"/>
        <w:spacing w:before="240"/>
      </w:pPr>
      <w:r>
        <w:t>Topic</w:t>
      </w:r>
    </w:p>
    <w:p w14:paraId="4D475D36" w14:textId="17CD4E65" w:rsidR="00E3045B" w:rsidRPr="003B4D66" w:rsidRDefault="00A966CE" w:rsidP="00354FC9">
      <w:r>
        <w:t>Solving</w:t>
      </w:r>
      <w:r w:rsidR="001B2839">
        <w:t xml:space="preserve"> and graphing</w:t>
      </w:r>
      <w:r>
        <w:t xml:space="preserve"> one and two-</w:t>
      </w:r>
      <w:r w:rsidR="00264E9D">
        <w:t xml:space="preserve">step </w:t>
      </w:r>
      <w:r w:rsidR="00EE2B51">
        <w:t>inequalities</w:t>
      </w:r>
    </w:p>
    <w:p w14:paraId="45CFB8BC" w14:textId="0CF285D2" w:rsidR="00354FC9" w:rsidRDefault="00354FC9" w:rsidP="00B3634B">
      <w:pPr>
        <w:pStyle w:val="Heading2"/>
        <w:spacing w:before="240"/>
      </w:pPr>
      <w:r>
        <w:t>S</w:t>
      </w:r>
      <w:r w:rsidR="003978F7">
        <w:t>OL</w:t>
      </w:r>
    </w:p>
    <w:p w14:paraId="4CEECF26" w14:textId="4F047618" w:rsidR="00D357EC" w:rsidRPr="003B4D66" w:rsidRDefault="0023471C" w:rsidP="00B3634B">
      <w:pPr>
        <w:ind w:left="720" w:hanging="720"/>
      </w:pPr>
      <w:r>
        <w:t>7.13</w:t>
      </w:r>
      <w:r w:rsidR="003978F7">
        <w:tab/>
      </w:r>
      <w:r w:rsidR="00BA29A4">
        <w:t>The student will solve one- and two-step linear inequalities in one variable, including practical problems, involving addition, subtraction, multiplication, and division, and graph the solution on a number line</w:t>
      </w:r>
      <w:r w:rsidR="003978F7">
        <w:t>.</w:t>
      </w:r>
    </w:p>
    <w:p w14:paraId="008DD042" w14:textId="4438667F" w:rsidR="00354FC9" w:rsidRDefault="00354FC9" w:rsidP="00B3634B">
      <w:pPr>
        <w:pStyle w:val="Heading2"/>
        <w:spacing w:before="240"/>
      </w:pPr>
      <w:r>
        <w:t>Outcomes</w:t>
      </w:r>
    </w:p>
    <w:p w14:paraId="5B7B1338" w14:textId="7DC626DF" w:rsidR="00E3045B" w:rsidRPr="003B4D66" w:rsidRDefault="00D357EC" w:rsidP="00354FC9">
      <w:pPr>
        <w:tabs>
          <w:tab w:val="left" w:pos="270"/>
        </w:tabs>
      </w:pPr>
      <w:r>
        <w:t>T</w:t>
      </w:r>
      <w:r w:rsidR="00FC20D4">
        <w:t>he student will use a matching activity to</w:t>
      </w:r>
      <w:r>
        <w:t xml:space="preserve"> solve</w:t>
      </w:r>
      <w:r w:rsidR="001B2839">
        <w:t xml:space="preserve"> and graph one</w:t>
      </w:r>
      <w:r w:rsidR="00574CFE">
        <w:t>-</w:t>
      </w:r>
      <w:r w:rsidR="001B2839">
        <w:t xml:space="preserve"> and two-</w:t>
      </w:r>
      <w:r>
        <w:t xml:space="preserve">step </w:t>
      </w:r>
      <w:r w:rsidR="00EE2B51">
        <w:t>inequalities</w:t>
      </w:r>
      <w:r w:rsidR="003978F7">
        <w:t>.</w:t>
      </w:r>
    </w:p>
    <w:p w14:paraId="1B9D41BC" w14:textId="35CE23C9" w:rsidR="00271DEA" w:rsidRDefault="00354FC9" w:rsidP="00B3634B">
      <w:pPr>
        <w:pStyle w:val="Heading2"/>
        <w:spacing w:before="240"/>
      </w:pPr>
      <w:r>
        <w:t xml:space="preserve">Materials </w:t>
      </w:r>
    </w:p>
    <w:p w14:paraId="2ED14B07" w14:textId="77777777" w:rsidR="00574CFE" w:rsidRDefault="00574CFE" w:rsidP="00574CFE">
      <w:pPr>
        <w:pStyle w:val="ListParagraph"/>
        <w:widowControl/>
        <w:numPr>
          <w:ilvl w:val="0"/>
          <w:numId w:val="2"/>
        </w:numPr>
        <w:spacing w:line="276" w:lineRule="auto"/>
      </w:pPr>
      <w:r>
        <w:t>Calculators</w:t>
      </w:r>
    </w:p>
    <w:p w14:paraId="516C01E6" w14:textId="61AE8340" w:rsidR="00763570" w:rsidRDefault="000E292B" w:rsidP="00B67FBF">
      <w:pPr>
        <w:pStyle w:val="ListParagraph"/>
        <w:widowControl/>
        <w:numPr>
          <w:ilvl w:val="0"/>
          <w:numId w:val="2"/>
        </w:numPr>
        <w:spacing w:line="276" w:lineRule="auto"/>
      </w:pPr>
      <w:r>
        <w:t xml:space="preserve">Vocabulary </w:t>
      </w:r>
      <w:proofErr w:type="spellStart"/>
      <w:r w:rsidR="00763570">
        <w:t>LINCing</w:t>
      </w:r>
      <w:proofErr w:type="spellEnd"/>
      <w:r w:rsidR="00763570">
        <w:t xml:space="preserve"> Routine </w:t>
      </w:r>
      <w:r>
        <w:t xml:space="preserve">Diagram </w:t>
      </w:r>
      <w:r w:rsidR="00763570">
        <w:t>(attached)</w:t>
      </w:r>
    </w:p>
    <w:p w14:paraId="1B86FC2A" w14:textId="655EA732" w:rsidR="002F1A63" w:rsidRDefault="000E292B" w:rsidP="00B67FBF">
      <w:pPr>
        <w:pStyle w:val="ListParagraph"/>
        <w:widowControl/>
        <w:numPr>
          <w:ilvl w:val="0"/>
          <w:numId w:val="2"/>
        </w:numPr>
        <w:spacing w:line="276" w:lineRule="auto"/>
      </w:pPr>
      <w:r>
        <w:t xml:space="preserve">Solving </w:t>
      </w:r>
      <w:r w:rsidR="000462EB">
        <w:t>Inequalit</w:t>
      </w:r>
      <w:r>
        <w:t>ies</w:t>
      </w:r>
      <w:r w:rsidR="000462EB">
        <w:t xml:space="preserve"> Matching Activity</w:t>
      </w:r>
      <w:r w:rsidR="002F1A63">
        <w:t xml:space="preserve"> </w:t>
      </w:r>
      <w:r w:rsidR="00A53652">
        <w:t>w</w:t>
      </w:r>
      <w:r>
        <w:t xml:space="preserve">orksheet </w:t>
      </w:r>
      <w:r w:rsidR="00141154">
        <w:t>(attached)</w:t>
      </w:r>
      <w:r>
        <w:t xml:space="preserve"> </w:t>
      </w:r>
    </w:p>
    <w:p w14:paraId="50B78E4D" w14:textId="584F19F0" w:rsidR="00141154" w:rsidRDefault="00141154" w:rsidP="00B67FBF">
      <w:pPr>
        <w:pStyle w:val="ListParagraph"/>
        <w:widowControl/>
        <w:numPr>
          <w:ilvl w:val="0"/>
          <w:numId w:val="2"/>
        </w:numPr>
        <w:spacing w:line="276" w:lineRule="auto"/>
      </w:pPr>
      <w:r>
        <w:t>Solving Inequalities Matching Activity</w:t>
      </w:r>
      <w:r w:rsidRPr="00141154">
        <w:t xml:space="preserve"> </w:t>
      </w:r>
      <w:r>
        <w:t>Key (attached)</w:t>
      </w:r>
    </w:p>
    <w:p w14:paraId="7BC7A1CC" w14:textId="0CB1DA46" w:rsidR="009F3C5A" w:rsidRDefault="009F3C5A" w:rsidP="00B67FBF">
      <w:pPr>
        <w:pStyle w:val="ListParagraph"/>
        <w:widowControl/>
        <w:numPr>
          <w:ilvl w:val="0"/>
          <w:numId w:val="2"/>
        </w:numPr>
        <w:spacing w:line="276" w:lineRule="auto"/>
      </w:pPr>
      <w:r>
        <w:t xml:space="preserve">Inequalities Practice </w:t>
      </w:r>
      <w:r w:rsidR="00A53652">
        <w:t>w</w:t>
      </w:r>
      <w:r>
        <w:t>orksheet</w:t>
      </w:r>
      <w:r w:rsidR="000E292B">
        <w:t xml:space="preserve"> (attached)</w:t>
      </w:r>
    </w:p>
    <w:p w14:paraId="48192192" w14:textId="1E0F6934" w:rsidR="00354FC9" w:rsidRDefault="00E3045B" w:rsidP="00B3634B">
      <w:pPr>
        <w:pStyle w:val="Heading2"/>
        <w:spacing w:before="240"/>
      </w:pPr>
      <w:r w:rsidRPr="003B4D66">
        <w:lastRenderedPageBreak/>
        <w:t>Vocab</w:t>
      </w:r>
      <w:r w:rsidR="00354FC9">
        <w:t>ulary</w:t>
      </w:r>
    </w:p>
    <w:p w14:paraId="0729C5F8" w14:textId="77777777" w:rsidR="001451D0" w:rsidRDefault="001451D0" w:rsidP="00716943">
      <w:pPr>
        <w:pStyle w:val="ListParagraph"/>
        <w:numPr>
          <w:ilvl w:val="0"/>
          <w:numId w:val="9"/>
        </w:numPr>
        <w:sectPr w:rsidR="001451D0" w:rsidSect="00B3634B">
          <w:type w:val="continuous"/>
          <w:pgSz w:w="15840" w:h="12240" w:orient="landscape"/>
          <w:pgMar w:top="1440" w:right="1440" w:bottom="1440" w:left="1440" w:header="720" w:footer="720" w:gutter="0"/>
          <w:cols w:space="720"/>
          <w:noEndnote/>
          <w:docGrid w:linePitch="326"/>
        </w:sectPr>
      </w:pPr>
    </w:p>
    <w:p w14:paraId="445D7E55" w14:textId="1976111A" w:rsidR="00581CF3" w:rsidRPr="00595354" w:rsidRDefault="00581CF3" w:rsidP="00581CF3">
      <w:pPr>
        <w:pStyle w:val="ListParagraph"/>
        <w:widowControl/>
        <w:spacing w:line="276" w:lineRule="auto"/>
        <w:ind w:left="360"/>
        <w:rPr>
          <w:i/>
        </w:rPr>
      </w:pPr>
      <w:proofErr w:type="gramStart"/>
      <w:r>
        <w:rPr>
          <w:i/>
        </w:rPr>
        <w:t>e</w:t>
      </w:r>
      <w:r w:rsidRPr="003D6502">
        <w:rPr>
          <w:i/>
        </w:rPr>
        <w:t>qual</w:t>
      </w:r>
      <w:proofErr w:type="gramEnd"/>
      <w:r>
        <w:rPr>
          <w:i/>
        </w:rPr>
        <w:t>, greater t</w:t>
      </w:r>
      <w:r w:rsidRPr="00CA311E">
        <w:rPr>
          <w:i/>
        </w:rPr>
        <w:t>han</w:t>
      </w:r>
      <w:r>
        <w:rPr>
          <w:i/>
        </w:rPr>
        <w:t>, g</w:t>
      </w:r>
      <w:r w:rsidRPr="007B33C6">
        <w:rPr>
          <w:i/>
        </w:rPr>
        <w:t>reater than or equal to</w:t>
      </w:r>
      <w:r>
        <w:rPr>
          <w:i/>
        </w:rPr>
        <w:t>, i</w:t>
      </w:r>
      <w:r w:rsidRPr="008F2B10">
        <w:rPr>
          <w:i/>
        </w:rPr>
        <w:t>nequality</w:t>
      </w:r>
      <w:r>
        <w:rPr>
          <w:i/>
        </w:rPr>
        <w:t>, i</w:t>
      </w:r>
      <w:r w:rsidRPr="00535713">
        <w:rPr>
          <w:i/>
        </w:rPr>
        <w:t xml:space="preserve">nverse </w:t>
      </w:r>
      <w:r>
        <w:rPr>
          <w:i/>
        </w:rPr>
        <w:t>o</w:t>
      </w:r>
      <w:r w:rsidRPr="00535713">
        <w:rPr>
          <w:i/>
        </w:rPr>
        <w:t>perations</w:t>
      </w:r>
      <w:r>
        <w:rPr>
          <w:i/>
        </w:rPr>
        <w:t>, less t</w:t>
      </w:r>
      <w:r w:rsidRPr="0077687D">
        <w:rPr>
          <w:i/>
        </w:rPr>
        <w:t>han</w:t>
      </w:r>
      <w:r w:rsidRPr="00581CF3">
        <w:rPr>
          <w:i/>
        </w:rPr>
        <w:t xml:space="preserve"> </w:t>
      </w:r>
      <w:r>
        <w:rPr>
          <w:i/>
        </w:rPr>
        <w:t>l</w:t>
      </w:r>
      <w:r w:rsidRPr="008E3D26">
        <w:rPr>
          <w:i/>
        </w:rPr>
        <w:t>ess than or equal to</w:t>
      </w:r>
      <w:r>
        <w:rPr>
          <w:i/>
        </w:rPr>
        <w:t>,</w:t>
      </w:r>
      <w:r w:rsidRPr="00581CF3">
        <w:rPr>
          <w:i/>
        </w:rPr>
        <w:t xml:space="preserve"> </w:t>
      </w:r>
      <w:r>
        <w:rPr>
          <w:i/>
        </w:rPr>
        <w:t>o</w:t>
      </w:r>
      <w:r w:rsidRPr="00595354">
        <w:rPr>
          <w:i/>
        </w:rPr>
        <w:t>ne-step inequality</w:t>
      </w:r>
      <w:r>
        <w:rPr>
          <w:i/>
        </w:rPr>
        <w:t>,</w:t>
      </w:r>
    </w:p>
    <w:p w14:paraId="414F776D" w14:textId="03CBE98E" w:rsidR="00581CF3" w:rsidRPr="00E629CD" w:rsidRDefault="00581CF3" w:rsidP="00581CF3">
      <w:pPr>
        <w:pStyle w:val="ListParagraph"/>
        <w:widowControl/>
        <w:spacing w:line="276" w:lineRule="auto"/>
        <w:ind w:left="360"/>
        <w:rPr>
          <w:i/>
        </w:rPr>
      </w:pPr>
      <w:proofErr w:type="gramStart"/>
      <w:r>
        <w:rPr>
          <w:i/>
        </w:rPr>
        <w:t>t</w:t>
      </w:r>
      <w:r w:rsidRPr="003C4942">
        <w:rPr>
          <w:i/>
        </w:rPr>
        <w:t>wo-step</w:t>
      </w:r>
      <w:proofErr w:type="gramEnd"/>
      <w:r w:rsidRPr="003C4942">
        <w:rPr>
          <w:i/>
        </w:rPr>
        <w:t xml:space="preserve"> inequality</w:t>
      </w:r>
      <w:r>
        <w:rPr>
          <w:i/>
        </w:rPr>
        <w:t>, v</w:t>
      </w:r>
      <w:r w:rsidRPr="00E629CD">
        <w:rPr>
          <w:i/>
        </w:rPr>
        <w:t>ariable</w:t>
      </w:r>
    </w:p>
    <w:p w14:paraId="474BA760" w14:textId="17F3F660" w:rsidR="00763570" w:rsidRPr="00A966CE" w:rsidRDefault="00763570" w:rsidP="00B3634B">
      <w:pPr>
        <w:pStyle w:val="ListParagraph"/>
        <w:widowControl/>
        <w:spacing w:line="276" w:lineRule="auto"/>
        <w:sectPr w:rsidR="00763570" w:rsidRPr="00A966CE" w:rsidSect="00B3634B">
          <w:type w:val="continuous"/>
          <w:pgSz w:w="15840" w:h="12240" w:orient="landscape"/>
          <w:pgMar w:top="1440" w:right="1440" w:bottom="1440" w:left="1440" w:header="720" w:footer="720" w:gutter="0"/>
          <w:cols w:space="720"/>
          <w:noEndnote/>
          <w:docGrid w:linePitch="326"/>
        </w:sectPr>
      </w:pPr>
    </w:p>
    <w:p w14:paraId="7B6EEA41" w14:textId="77777777" w:rsidR="00867493" w:rsidRDefault="00720A4E" w:rsidP="00B3634B">
      <w:pPr>
        <w:pStyle w:val="Heading2"/>
        <w:ind w:left="90"/>
      </w:pPr>
      <w:r>
        <w:t>Co-T</w:t>
      </w:r>
      <w:r w:rsidR="00B22882">
        <w:t>eacher Actions</w:t>
      </w:r>
    </w:p>
    <w:tbl>
      <w:tblPr>
        <w:tblStyle w:val="TableGrid"/>
        <w:tblW w:w="12510" w:type="dxa"/>
        <w:tblInd w:w="175" w:type="dxa"/>
        <w:tblLayout w:type="fixed"/>
        <w:tblLook w:val="04A0" w:firstRow="1" w:lastRow="0" w:firstColumn="1" w:lastColumn="0" w:noHBand="0" w:noVBand="1"/>
        <w:tblCaption w:val="Lesson Plan"/>
        <w:tblDescription w:val="This table shows the general educator and special educator's roles throughout the lesson."/>
      </w:tblPr>
      <w:tblGrid>
        <w:gridCol w:w="1913"/>
        <w:gridCol w:w="2340"/>
        <w:gridCol w:w="4320"/>
        <w:gridCol w:w="3937"/>
      </w:tblGrid>
      <w:tr w:rsidR="00FF546C" w14:paraId="38D2C184" w14:textId="77777777" w:rsidTr="00B3634B">
        <w:trPr>
          <w:tblHeader/>
        </w:trPr>
        <w:tc>
          <w:tcPr>
            <w:tcW w:w="1913" w:type="dxa"/>
          </w:tcPr>
          <w:p w14:paraId="691DAF67" w14:textId="77777777" w:rsidR="00FF546C" w:rsidRPr="00FF546C" w:rsidRDefault="00FF546C" w:rsidP="00FF546C">
            <w:pPr>
              <w:rPr>
                <w:b/>
              </w:rPr>
            </w:pPr>
            <w:r w:rsidRPr="00FF546C">
              <w:rPr>
                <w:b/>
              </w:rPr>
              <w:t>Lesson Component</w:t>
            </w:r>
          </w:p>
        </w:tc>
        <w:tc>
          <w:tcPr>
            <w:tcW w:w="2340" w:type="dxa"/>
          </w:tcPr>
          <w:p w14:paraId="32DF02EC" w14:textId="77777777"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20" w:type="dxa"/>
          </w:tcPr>
          <w:p w14:paraId="307FDEEB" w14:textId="77777777" w:rsidR="00FF546C" w:rsidRPr="00FF546C" w:rsidRDefault="001451D0" w:rsidP="00B3634B">
            <w:pPr>
              <w:spacing w:after="120"/>
              <w:rPr>
                <w:b/>
              </w:rPr>
            </w:pPr>
            <w:r>
              <w:rPr>
                <w:b/>
              </w:rPr>
              <w:t>General Educator</w:t>
            </w:r>
            <w:r w:rsidR="008F07A5">
              <w:rPr>
                <w:b/>
              </w:rPr>
              <w:t xml:space="preserve"> (GE)</w:t>
            </w:r>
          </w:p>
        </w:tc>
        <w:tc>
          <w:tcPr>
            <w:tcW w:w="3937" w:type="dxa"/>
          </w:tcPr>
          <w:p w14:paraId="3497A647" w14:textId="77777777" w:rsidR="00FF546C" w:rsidRPr="00FF546C" w:rsidRDefault="001451D0" w:rsidP="00B3634B">
            <w:pPr>
              <w:spacing w:after="120"/>
              <w:rPr>
                <w:b/>
              </w:rPr>
            </w:pPr>
            <w:r>
              <w:rPr>
                <w:b/>
              </w:rPr>
              <w:t>Special Educator</w:t>
            </w:r>
            <w:r w:rsidR="008F07A5">
              <w:rPr>
                <w:b/>
              </w:rPr>
              <w:t xml:space="preserve"> (SE)</w:t>
            </w:r>
          </w:p>
        </w:tc>
      </w:tr>
      <w:tr w:rsidR="002645C4" w14:paraId="79153636" w14:textId="77777777" w:rsidTr="00B3634B">
        <w:tc>
          <w:tcPr>
            <w:tcW w:w="1913" w:type="dxa"/>
          </w:tcPr>
          <w:p w14:paraId="0856C8FC" w14:textId="77777777" w:rsidR="002645C4" w:rsidRPr="009065CE" w:rsidRDefault="002645C4" w:rsidP="00FF546C">
            <w:pPr>
              <w:rPr>
                <w:b/>
              </w:rPr>
            </w:pPr>
            <w:r w:rsidRPr="009065CE">
              <w:rPr>
                <w:b/>
              </w:rPr>
              <w:t>Anticipatory Set</w:t>
            </w:r>
          </w:p>
        </w:tc>
        <w:tc>
          <w:tcPr>
            <w:tcW w:w="2340" w:type="dxa"/>
          </w:tcPr>
          <w:p w14:paraId="046931D5" w14:textId="204DF03C" w:rsidR="002645C4" w:rsidRPr="009065CE" w:rsidRDefault="00F96E10" w:rsidP="007C26A5">
            <w:r w:rsidRPr="00E83A54">
              <w:t>Team Teaching</w:t>
            </w:r>
            <w:r w:rsidR="002645C4">
              <w:t xml:space="preserve"> </w:t>
            </w:r>
          </w:p>
        </w:tc>
        <w:tc>
          <w:tcPr>
            <w:tcW w:w="4320" w:type="dxa"/>
          </w:tcPr>
          <w:p w14:paraId="702B340E" w14:textId="395CBAF6" w:rsidR="00574CFE" w:rsidRDefault="00574CFE" w:rsidP="00B3634B">
            <w:pPr>
              <w:spacing w:after="120"/>
            </w:pPr>
            <w:r>
              <w:t xml:space="preserve">GE presents </w:t>
            </w:r>
            <w:r w:rsidR="00F96E10">
              <w:t xml:space="preserve">the equation x + 1 = 5 and the inequality x + 1 &lt; 5 and </w:t>
            </w:r>
            <w:r>
              <w:t xml:space="preserve">has </w:t>
            </w:r>
            <w:r w:rsidR="00F96E10">
              <w:t>students write and/or discuss the difference between the two.</w:t>
            </w:r>
            <w:r w:rsidR="008B1220">
              <w:t xml:space="preserve"> During the discussion, be sure to compare the solutions to equations vs</w:t>
            </w:r>
            <w:r w:rsidR="00972E04">
              <w:t>.</w:t>
            </w:r>
            <w:r w:rsidR="008B1220">
              <w:t xml:space="preserve"> the solutions for inequalities.</w:t>
            </w:r>
            <w:r w:rsidR="00F96E10">
              <w:t xml:space="preserve"> </w:t>
            </w:r>
          </w:p>
          <w:p w14:paraId="52A97A64" w14:textId="6F57F7AE" w:rsidR="002645C4" w:rsidRPr="0030291A" w:rsidRDefault="00574CFE" w:rsidP="00B3634B">
            <w:pPr>
              <w:spacing w:after="120"/>
            </w:pPr>
            <w:r>
              <w:t>GE introduces</w:t>
            </w:r>
            <w:r w:rsidR="00F96E10">
              <w:t xml:space="preserve"> important vocabulary like </w:t>
            </w:r>
            <w:r w:rsidR="00F96E10" w:rsidRPr="00B3634B">
              <w:rPr>
                <w:i/>
              </w:rPr>
              <w:t>variable, inequality</w:t>
            </w:r>
            <w:r w:rsidR="00972E04">
              <w:t>,</w:t>
            </w:r>
            <w:r w:rsidR="00F96E10">
              <w:t xml:space="preserve"> </w:t>
            </w:r>
            <w:r w:rsidR="00972E04">
              <w:t>and</w:t>
            </w:r>
            <w:r w:rsidR="00F96E10">
              <w:t xml:space="preserve"> </w:t>
            </w:r>
            <w:r w:rsidR="00F96E10" w:rsidRPr="00B3634B">
              <w:rPr>
                <w:i/>
              </w:rPr>
              <w:t>inequality symbols</w:t>
            </w:r>
            <w:r w:rsidR="00F96E10">
              <w:t xml:space="preserve">. </w:t>
            </w:r>
            <w:r>
              <w:t>GE d</w:t>
            </w:r>
            <w:r w:rsidR="00F96E10">
              <w:t>iscuss</w:t>
            </w:r>
            <w:r>
              <w:t>es</w:t>
            </w:r>
            <w:r w:rsidR="00F96E10">
              <w:t xml:space="preserve"> the differences between an equation and an inequality.  </w:t>
            </w:r>
          </w:p>
        </w:tc>
        <w:tc>
          <w:tcPr>
            <w:tcW w:w="3937" w:type="dxa"/>
          </w:tcPr>
          <w:p w14:paraId="223C299D" w14:textId="64BE7D7C" w:rsidR="002645C4" w:rsidRPr="00E40032" w:rsidRDefault="00E83A54" w:rsidP="00B3634B">
            <w:pPr>
              <w:spacing w:after="120"/>
              <w:rPr>
                <w:rFonts w:asciiTheme="minorHAnsi" w:hAnsiTheme="minorHAnsi" w:cstheme="minorHAnsi"/>
              </w:rPr>
            </w:pPr>
            <w:r>
              <w:t>SE participate</w:t>
            </w:r>
            <w:r w:rsidR="00972E04">
              <w:t>s</w:t>
            </w:r>
            <w:r>
              <w:t xml:space="preserve"> in team teaching approach by adding information to class discussion and presenting questions</w:t>
            </w:r>
            <w:r w:rsidR="00100A61">
              <w:t>/prompting</w:t>
            </w:r>
            <w:r>
              <w:t xml:space="preserve"> with </w:t>
            </w:r>
            <w:r w:rsidR="00972E04">
              <w:t>GE.</w:t>
            </w:r>
          </w:p>
        </w:tc>
      </w:tr>
      <w:tr w:rsidR="007F2F9D" w14:paraId="29D91EC3" w14:textId="77777777" w:rsidTr="00B3634B">
        <w:tc>
          <w:tcPr>
            <w:tcW w:w="1913" w:type="dxa"/>
          </w:tcPr>
          <w:p w14:paraId="3DCDAF14" w14:textId="77777777" w:rsidR="007F2F9D" w:rsidRPr="009065CE" w:rsidRDefault="007F2F9D" w:rsidP="007F2F9D">
            <w:pPr>
              <w:rPr>
                <w:b/>
              </w:rPr>
            </w:pPr>
            <w:r w:rsidRPr="009065CE">
              <w:rPr>
                <w:b/>
              </w:rPr>
              <w:t>Lesson Activities/</w:t>
            </w:r>
            <w:r>
              <w:rPr>
                <w:b/>
              </w:rPr>
              <w:t xml:space="preserve"> </w:t>
            </w:r>
            <w:r w:rsidRPr="009065CE">
              <w:rPr>
                <w:b/>
              </w:rPr>
              <w:t>Procedures</w:t>
            </w:r>
          </w:p>
        </w:tc>
        <w:tc>
          <w:tcPr>
            <w:tcW w:w="2340" w:type="dxa"/>
          </w:tcPr>
          <w:p w14:paraId="16C256AE" w14:textId="545B07A9" w:rsidR="007F2F9D" w:rsidRPr="00885417" w:rsidRDefault="007F2F9D" w:rsidP="007F2F9D">
            <w:r>
              <w:t>Team Teaching</w:t>
            </w:r>
          </w:p>
        </w:tc>
        <w:tc>
          <w:tcPr>
            <w:tcW w:w="4320" w:type="dxa"/>
          </w:tcPr>
          <w:p w14:paraId="2E0B9589" w14:textId="22842613" w:rsidR="008B1220" w:rsidRDefault="00574CFE" w:rsidP="00B3634B">
            <w:pPr>
              <w:pStyle w:val="ListParagraph"/>
              <w:numPr>
                <w:ilvl w:val="0"/>
                <w:numId w:val="33"/>
              </w:numPr>
              <w:spacing w:after="120"/>
            </w:pPr>
            <w:r>
              <w:t>GE</w:t>
            </w:r>
            <w:r w:rsidR="008B1220">
              <w:t xml:space="preserve"> work</w:t>
            </w:r>
            <w:r>
              <w:t>s</w:t>
            </w:r>
            <w:r w:rsidR="008B1220">
              <w:t xml:space="preserve"> through additional examples of inequalities as a class</w:t>
            </w:r>
            <w:r>
              <w:t xml:space="preserve"> using discussion points from the anticipatory set</w:t>
            </w:r>
            <w:r w:rsidR="008B1220">
              <w:t>.</w:t>
            </w:r>
          </w:p>
          <w:p w14:paraId="76060D38" w14:textId="77777777" w:rsidR="00574CFE" w:rsidRDefault="00574CFE" w:rsidP="00B3634B">
            <w:pPr>
              <w:pStyle w:val="ListParagraph"/>
              <w:spacing w:after="120"/>
              <w:ind w:left="0"/>
            </w:pPr>
          </w:p>
          <w:p w14:paraId="57891B8A" w14:textId="0DCC1D92" w:rsidR="00574CFE" w:rsidRDefault="00574CFE" w:rsidP="00762DB7">
            <w:pPr>
              <w:pStyle w:val="ListParagraph"/>
              <w:numPr>
                <w:ilvl w:val="0"/>
                <w:numId w:val="33"/>
              </w:numPr>
              <w:spacing w:after="120"/>
            </w:pPr>
            <w:r>
              <w:t>GE u</w:t>
            </w:r>
            <w:r w:rsidR="008B1220">
              <w:t>se</w:t>
            </w:r>
            <w:r>
              <w:t>s the</w:t>
            </w:r>
            <w:r w:rsidR="008B1220">
              <w:t xml:space="preserve"> </w:t>
            </w:r>
            <w:r w:rsidR="00191F15">
              <w:t xml:space="preserve">Vocabulary </w:t>
            </w:r>
            <w:proofErr w:type="spellStart"/>
            <w:r w:rsidR="008B1220">
              <w:t>LINCing</w:t>
            </w:r>
            <w:proofErr w:type="spellEnd"/>
            <w:r w:rsidR="008B1220">
              <w:t xml:space="preserve"> </w:t>
            </w:r>
            <w:r w:rsidR="00191F15">
              <w:t xml:space="preserve">Routine Diagram </w:t>
            </w:r>
            <w:r w:rsidR="008B1220">
              <w:t xml:space="preserve">to develop </w:t>
            </w:r>
            <w:r w:rsidR="00141154">
              <w:t xml:space="preserve">a </w:t>
            </w:r>
            <w:r w:rsidR="008B1220">
              <w:t>working definition of an inequality.</w:t>
            </w:r>
            <w:r w:rsidR="00762DB7">
              <w:t xml:space="preserve"> </w:t>
            </w:r>
          </w:p>
          <w:p w14:paraId="4C18C66C" w14:textId="77777777" w:rsidR="00762DB7" w:rsidRDefault="00574CFE" w:rsidP="00762DB7">
            <w:pPr>
              <w:pStyle w:val="ListParagraph"/>
              <w:numPr>
                <w:ilvl w:val="0"/>
                <w:numId w:val="33"/>
              </w:numPr>
              <w:spacing w:after="120"/>
            </w:pPr>
            <w:r>
              <w:t>GE p</w:t>
            </w:r>
            <w:r w:rsidR="008B1220">
              <w:t>rovide</w:t>
            </w:r>
            <w:r>
              <w:t>s</w:t>
            </w:r>
            <w:r w:rsidR="008B1220">
              <w:t xml:space="preserve"> an additional example of an inequality and use</w:t>
            </w:r>
            <w:r>
              <w:t>s</w:t>
            </w:r>
            <w:r w:rsidR="008B1220">
              <w:t xml:space="preserve"> the solution to discuss how the solution may be represented on a graph. </w:t>
            </w:r>
            <w:r>
              <w:t>GE d</w:t>
            </w:r>
            <w:r w:rsidR="008B1220">
              <w:t>iscuss</w:t>
            </w:r>
            <w:r>
              <w:t>es</w:t>
            </w:r>
            <w:r w:rsidR="008B1220">
              <w:t xml:space="preserve"> how the inequality symbol determines whether the circle is closed or </w:t>
            </w:r>
            <w:r w:rsidR="008B1220">
              <w:lastRenderedPageBreak/>
              <w:t xml:space="preserve">open and </w:t>
            </w:r>
            <w:r w:rsidR="00141154">
              <w:t xml:space="preserve">in </w:t>
            </w:r>
            <w:r w:rsidR="008B1220">
              <w:t>which direction it is colored.</w:t>
            </w:r>
          </w:p>
          <w:p w14:paraId="3AC61058" w14:textId="22BC9B45" w:rsidR="007F2F9D" w:rsidRPr="009065CE" w:rsidRDefault="00574CFE" w:rsidP="00762DB7">
            <w:pPr>
              <w:pStyle w:val="ListParagraph"/>
              <w:numPr>
                <w:ilvl w:val="0"/>
                <w:numId w:val="33"/>
              </w:numPr>
              <w:spacing w:after="120"/>
            </w:pPr>
            <w:r>
              <w:t>GE w</w:t>
            </w:r>
            <w:r w:rsidR="008D08B5">
              <w:t>ork</w:t>
            </w:r>
            <w:r>
              <w:t>s</w:t>
            </w:r>
            <w:r w:rsidR="008D08B5">
              <w:t xml:space="preserve"> on </w:t>
            </w:r>
            <w:r w:rsidR="008B1220">
              <w:t xml:space="preserve">more examples with students that include all operations. </w:t>
            </w:r>
            <w:r>
              <w:t xml:space="preserve">GE </w:t>
            </w:r>
            <w:r w:rsidR="008B1220">
              <w:t>include</w:t>
            </w:r>
            <w:r>
              <w:t>s</w:t>
            </w:r>
            <w:r w:rsidR="008B1220">
              <w:t xml:space="preserve"> examples </w:t>
            </w:r>
            <w:r>
              <w:t xml:space="preserve">to </w:t>
            </w:r>
            <w:r w:rsidR="008B1220">
              <w:t>discuss what happens when you multi</w:t>
            </w:r>
            <w:r w:rsidR="00DC6A1C">
              <w:t xml:space="preserve">ply or divide by a negative. </w:t>
            </w:r>
          </w:p>
        </w:tc>
        <w:tc>
          <w:tcPr>
            <w:tcW w:w="3937" w:type="dxa"/>
          </w:tcPr>
          <w:p w14:paraId="36FA96A0" w14:textId="2F5E1908" w:rsidR="00DC6A1C" w:rsidRDefault="00972E04" w:rsidP="00B3634B">
            <w:pPr>
              <w:spacing w:after="120"/>
            </w:pPr>
            <w:r>
              <w:lastRenderedPageBreak/>
              <w:t>SE</w:t>
            </w:r>
            <w:r w:rsidR="00DC6A1C">
              <w:t xml:space="preserve"> participate</w:t>
            </w:r>
            <w:r>
              <w:t>s</w:t>
            </w:r>
            <w:r w:rsidR="00DC6A1C">
              <w:t xml:space="preserve"> in team teaching approach by adding information to class discussion and presenting questions with </w:t>
            </w:r>
            <w:r w:rsidR="008D08B5">
              <w:t>GE</w:t>
            </w:r>
            <w:r w:rsidR="00DC6A1C">
              <w:t xml:space="preserve">. </w:t>
            </w:r>
            <w:r>
              <w:t>SE</w:t>
            </w:r>
            <w:r w:rsidR="00DC6A1C">
              <w:t xml:space="preserve"> </w:t>
            </w:r>
            <w:r>
              <w:t>is</w:t>
            </w:r>
            <w:r w:rsidR="00DC6A1C">
              <w:t xml:space="preserve"> present at the front of the room or in close proximity to the </w:t>
            </w:r>
            <w:r>
              <w:t>GE</w:t>
            </w:r>
            <w:r w:rsidR="00DC6A1C">
              <w:t xml:space="preserve"> to provide a sense of team during discussion.  </w:t>
            </w:r>
          </w:p>
          <w:p w14:paraId="1FBCD236" w14:textId="52770FAF" w:rsidR="007F2F9D" w:rsidRPr="009065CE" w:rsidRDefault="00972E04" w:rsidP="00B3634B">
            <w:pPr>
              <w:spacing w:after="120"/>
            </w:pPr>
            <w:r>
              <w:t>SE</w:t>
            </w:r>
            <w:r w:rsidR="00DC6A1C">
              <w:t xml:space="preserve"> and </w:t>
            </w:r>
            <w:r>
              <w:t>GE</w:t>
            </w:r>
            <w:r w:rsidR="00DC6A1C">
              <w:t xml:space="preserve"> may break away from team teaching and change to a one teach/one assist </w:t>
            </w:r>
            <w:proofErr w:type="spellStart"/>
            <w:r w:rsidR="00DC6A1C">
              <w:t>LINCing</w:t>
            </w:r>
            <w:proofErr w:type="spellEnd"/>
            <w:r w:rsidR="00DC6A1C">
              <w:t xml:space="preserve"> activity as necessary based on student/classroom needs and accommodations.  </w:t>
            </w:r>
          </w:p>
        </w:tc>
      </w:tr>
      <w:tr w:rsidR="007F2F9D" w14:paraId="7D27739A" w14:textId="77777777" w:rsidTr="00B3634B">
        <w:tc>
          <w:tcPr>
            <w:tcW w:w="1913" w:type="dxa"/>
          </w:tcPr>
          <w:p w14:paraId="097DDAB6" w14:textId="292DB20A" w:rsidR="007F2F9D" w:rsidRPr="009065CE" w:rsidRDefault="007F2F9D" w:rsidP="007F2F9D">
            <w:pPr>
              <w:rPr>
                <w:b/>
              </w:rPr>
            </w:pPr>
            <w:r w:rsidRPr="009065CE">
              <w:rPr>
                <w:b/>
              </w:rPr>
              <w:t>Guided/Independent Practice</w:t>
            </w:r>
          </w:p>
        </w:tc>
        <w:tc>
          <w:tcPr>
            <w:tcW w:w="2340" w:type="dxa"/>
          </w:tcPr>
          <w:p w14:paraId="3C3C309D" w14:textId="0B1B5770" w:rsidR="007F2F9D" w:rsidRPr="00885417" w:rsidRDefault="008B1220" w:rsidP="007F2F9D">
            <w:r>
              <w:t>Parallel Teaching</w:t>
            </w:r>
          </w:p>
        </w:tc>
        <w:tc>
          <w:tcPr>
            <w:tcW w:w="4320" w:type="dxa"/>
          </w:tcPr>
          <w:p w14:paraId="25D28F92" w14:textId="746BF8B1" w:rsidR="00DC6A1C" w:rsidRDefault="00943084" w:rsidP="00B3634B">
            <w:pPr>
              <w:pStyle w:val="ListParagraph"/>
              <w:numPr>
                <w:ilvl w:val="0"/>
                <w:numId w:val="34"/>
              </w:numPr>
              <w:spacing w:after="120"/>
            </w:pPr>
            <w:r>
              <w:t>GE p</w:t>
            </w:r>
            <w:r w:rsidR="00DC6A1C">
              <w:t>rovide</w:t>
            </w:r>
            <w:r>
              <w:t>s</w:t>
            </w:r>
            <w:r w:rsidR="00DC6A1C">
              <w:t xml:space="preserve"> students with </w:t>
            </w:r>
            <w:r w:rsidR="00141154">
              <w:t xml:space="preserve">the </w:t>
            </w:r>
            <w:r w:rsidR="00191F15">
              <w:t xml:space="preserve">Solving </w:t>
            </w:r>
            <w:r w:rsidR="00DC6A1C">
              <w:t>Inequalities Matching Activity</w:t>
            </w:r>
            <w:r w:rsidR="00191F15">
              <w:t xml:space="preserve"> </w:t>
            </w:r>
            <w:r>
              <w:t>w</w:t>
            </w:r>
            <w:r w:rsidR="00191F15">
              <w:t xml:space="preserve">orksheet </w:t>
            </w:r>
            <w:r w:rsidR="00DC6A1C">
              <w:t>* and instruct</w:t>
            </w:r>
            <w:r>
              <w:t>s</w:t>
            </w:r>
            <w:r w:rsidR="00DC6A1C">
              <w:t xml:space="preserve"> them to complete </w:t>
            </w:r>
            <w:r w:rsidR="00191F15">
              <w:t xml:space="preserve">it </w:t>
            </w:r>
            <w:r w:rsidR="00DC6A1C">
              <w:t xml:space="preserve">independently. </w:t>
            </w:r>
            <w:r>
              <w:t>GE m</w:t>
            </w:r>
            <w:r w:rsidR="00DC6A1C">
              <w:t>onitor</w:t>
            </w:r>
            <w:r>
              <w:t>s</w:t>
            </w:r>
            <w:r w:rsidR="00DC6A1C">
              <w:t xml:space="preserve"> students for understanding and progress as they work through the problems </w:t>
            </w:r>
          </w:p>
          <w:p w14:paraId="6817B5E4" w14:textId="79245BE3" w:rsidR="007F2F9D" w:rsidRPr="009065CE" w:rsidRDefault="00DC6A1C" w:rsidP="00B3634B">
            <w:pPr>
              <w:spacing w:after="120"/>
            </w:pPr>
            <w:r>
              <w:t xml:space="preserve">*Inequalities Matching Activity </w:t>
            </w:r>
            <w:r w:rsidR="00943084">
              <w:t>w</w:t>
            </w:r>
            <w:r w:rsidR="00141154">
              <w:t xml:space="preserve">orksheet </w:t>
            </w:r>
            <w:r>
              <w:t xml:space="preserve">can be provided to each student as </w:t>
            </w:r>
            <w:r w:rsidR="008D08B5">
              <w:t xml:space="preserve">his/her </w:t>
            </w:r>
            <w:r>
              <w:t xml:space="preserve">own personal copy to cut and paste or be printed as a class set in which students simply place the solution and graph in each box and wait for the teacher to check for correctness. </w:t>
            </w:r>
          </w:p>
        </w:tc>
        <w:tc>
          <w:tcPr>
            <w:tcW w:w="3937" w:type="dxa"/>
          </w:tcPr>
          <w:p w14:paraId="10726D77" w14:textId="0FA14719" w:rsidR="007F2F9D" w:rsidRDefault="00E90CF0" w:rsidP="00B3634B">
            <w:pPr>
              <w:pStyle w:val="ListParagraph"/>
              <w:spacing w:after="120"/>
              <w:ind w:left="0"/>
            </w:pPr>
            <w:r>
              <w:t xml:space="preserve">1. </w:t>
            </w:r>
            <w:r w:rsidR="00943084">
              <w:t>SE p</w:t>
            </w:r>
            <w:r w:rsidR="00DC6A1C">
              <w:t>rovide</w:t>
            </w:r>
            <w:r w:rsidR="00943084">
              <w:t>s</w:t>
            </w:r>
            <w:r w:rsidR="00DC6A1C">
              <w:t xml:space="preserve"> students with </w:t>
            </w:r>
            <w:r w:rsidR="00F624C2">
              <w:t xml:space="preserve">the </w:t>
            </w:r>
            <w:r w:rsidR="00191F15">
              <w:t xml:space="preserve">Solving </w:t>
            </w:r>
            <w:r w:rsidR="00DC6A1C">
              <w:t>Inequalities Matching Activity</w:t>
            </w:r>
            <w:r w:rsidR="00191F15">
              <w:t xml:space="preserve"> </w:t>
            </w:r>
            <w:r w:rsidR="00943084">
              <w:t>w</w:t>
            </w:r>
            <w:r w:rsidR="00191F15">
              <w:t>orksheet</w:t>
            </w:r>
            <w:r w:rsidR="00DC6A1C">
              <w:t xml:space="preserve"> and </w:t>
            </w:r>
            <w:r w:rsidR="00943084">
              <w:t>works</w:t>
            </w:r>
            <w:r w:rsidR="00DC6A1C">
              <w:t xml:space="preserve"> the first two problems </w:t>
            </w:r>
            <w:r w:rsidR="00943084">
              <w:t xml:space="preserve">(finding the solution and graphing) </w:t>
            </w:r>
            <w:r w:rsidR="00DC6A1C">
              <w:t xml:space="preserve">prior to asking </w:t>
            </w:r>
            <w:r w:rsidR="00943084">
              <w:t xml:space="preserve">students </w:t>
            </w:r>
            <w:r w:rsidR="00DC6A1C">
              <w:t xml:space="preserve">to complete the remaining problems independently. </w:t>
            </w:r>
            <w:r w:rsidR="00943084">
              <w:t>SE p</w:t>
            </w:r>
            <w:r w:rsidR="00DC6A1C">
              <w:t>rovide</w:t>
            </w:r>
            <w:r w:rsidR="00943084">
              <w:t>s</w:t>
            </w:r>
            <w:r w:rsidR="00DC6A1C">
              <w:t xml:space="preserve"> students with </w:t>
            </w:r>
            <w:r w:rsidR="00F624C2">
              <w:t xml:space="preserve">a </w:t>
            </w:r>
            <w:r w:rsidR="00DC6A1C">
              <w:t>visual (</w:t>
            </w:r>
            <w:r w:rsidR="00191F15">
              <w:t xml:space="preserve">e.g., </w:t>
            </w:r>
            <w:r w:rsidR="00F624C2">
              <w:t>G</w:t>
            </w:r>
            <w:r w:rsidR="00DC6A1C">
              <w:t xml:space="preserve">raphing George) to aid in remembering how to graph the inequalities. </w:t>
            </w:r>
          </w:p>
          <w:p w14:paraId="3E166B84" w14:textId="1002A6E8" w:rsidR="009063B4" w:rsidRPr="009065CE" w:rsidRDefault="009063B4" w:rsidP="00B3634B">
            <w:pPr>
              <w:spacing w:after="120"/>
            </w:pPr>
          </w:p>
        </w:tc>
      </w:tr>
      <w:tr w:rsidR="007F2F9D" w14:paraId="64BB0CF8" w14:textId="77777777" w:rsidTr="00B3634B">
        <w:tc>
          <w:tcPr>
            <w:tcW w:w="1913" w:type="dxa"/>
          </w:tcPr>
          <w:p w14:paraId="6D8AD42D" w14:textId="49493CAC" w:rsidR="007F2F9D" w:rsidRPr="009065CE" w:rsidRDefault="007F2F9D" w:rsidP="007F2F9D">
            <w:pPr>
              <w:rPr>
                <w:b/>
              </w:rPr>
            </w:pPr>
            <w:r w:rsidRPr="009065CE">
              <w:rPr>
                <w:b/>
              </w:rPr>
              <w:t>Closure</w:t>
            </w:r>
          </w:p>
        </w:tc>
        <w:tc>
          <w:tcPr>
            <w:tcW w:w="2340" w:type="dxa"/>
          </w:tcPr>
          <w:p w14:paraId="01FABEA8" w14:textId="3FA6996F" w:rsidR="007F2F9D" w:rsidRPr="00885417" w:rsidRDefault="00492776" w:rsidP="007F2F9D">
            <w:r>
              <w:t>Team Teaching</w:t>
            </w:r>
          </w:p>
        </w:tc>
        <w:tc>
          <w:tcPr>
            <w:tcW w:w="4320" w:type="dxa"/>
          </w:tcPr>
          <w:p w14:paraId="0741C425" w14:textId="31A8E1E6" w:rsidR="007F2F9D" w:rsidRPr="009065CE" w:rsidRDefault="00943084" w:rsidP="00B3634B">
            <w:pPr>
              <w:pStyle w:val="ListParagraph"/>
              <w:spacing w:after="120"/>
              <w:ind w:left="0"/>
            </w:pPr>
            <w:r>
              <w:t>GE p</w:t>
            </w:r>
            <w:r w:rsidR="003A29A5">
              <w:t>rovide</w:t>
            </w:r>
            <w:r>
              <w:t>s</w:t>
            </w:r>
            <w:r w:rsidR="003A29A5">
              <w:t xml:space="preserve"> students with</w:t>
            </w:r>
            <w:r w:rsidR="00141154">
              <w:t xml:space="preserve"> the</w:t>
            </w:r>
            <w:r w:rsidR="003A29A5">
              <w:t xml:space="preserve"> Inequalities Practice </w:t>
            </w:r>
            <w:r>
              <w:t>w</w:t>
            </w:r>
            <w:r w:rsidR="00191F15">
              <w:t xml:space="preserve">orksheet </w:t>
            </w:r>
            <w:r w:rsidR="003A29A5">
              <w:t>and assist</w:t>
            </w:r>
            <w:r>
              <w:t>s</w:t>
            </w:r>
            <w:r w:rsidR="003A29A5">
              <w:t xml:space="preserve"> students as needed</w:t>
            </w:r>
            <w:r w:rsidR="008D08B5">
              <w:t>.</w:t>
            </w:r>
          </w:p>
        </w:tc>
        <w:tc>
          <w:tcPr>
            <w:tcW w:w="3937" w:type="dxa"/>
          </w:tcPr>
          <w:p w14:paraId="20868C24" w14:textId="1505D2C8" w:rsidR="007F2F9D" w:rsidRPr="00B3634B" w:rsidRDefault="00DC6A1C" w:rsidP="00B3634B">
            <w:pPr>
              <w:spacing w:after="120"/>
            </w:pPr>
            <w:r w:rsidRPr="00B3634B">
              <w:t>S</w:t>
            </w:r>
            <w:r w:rsidR="009474F7">
              <w:t>E s</w:t>
            </w:r>
            <w:r w:rsidRPr="00B3634B">
              <w:t>ame as GE</w:t>
            </w:r>
            <w:r w:rsidR="008D08B5">
              <w:t>.</w:t>
            </w:r>
          </w:p>
        </w:tc>
      </w:tr>
      <w:tr w:rsidR="007F2F9D" w14:paraId="2443E652" w14:textId="77777777" w:rsidTr="00B3634B">
        <w:tc>
          <w:tcPr>
            <w:tcW w:w="1913" w:type="dxa"/>
          </w:tcPr>
          <w:p w14:paraId="76ED829F" w14:textId="77777777" w:rsidR="007F2F9D" w:rsidRPr="009065CE" w:rsidRDefault="007F2F9D" w:rsidP="007F2F9D">
            <w:pPr>
              <w:rPr>
                <w:b/>
              </w:rPr>
            </w:pPr>
            <w:r w:rsidRPr="009065CE">
              <w:rPr>
                <w:b/>
              </w:rPr>
              <w:t>Formative Assessment Strategies</w:t>
            </w:r>
          </w:p>
        </w:tc>
        <w:tc>
          <w:tcPr>
            <w:tcW w:w="2340" w:type="dxa"/>
          </w:tcPr>
          <w:p w14:paraId="58C7C105" w14:textId="5A2078EF" w:rsidR="007F2F9D" w:rsidRPr="009065CE" w:rsidRDefault="007F2F9D" w:rsidP="007F2F9D">
            <w:r>
              <w:t>Team Teaching</w:t>
            </w:r>
          </w:p>
        </w:tc>
        <w:tc>
          <w:tcPr>
            <w:tcW w:w="4320" w:type="dxa"/>
          </w:tcPr>
          <w:p w14:paraId="567711F1" w14:textId="5B57D8A1" w:rsidR="00943084" w:rsidRDefault="00943084" w:rsidP="00B3634B">
            <w:pPr>
              <w:pStyle w:val="ListParagraph"/>
              <w:spacing w:after="120"/>
              <w:ind w:left="0"/>
            </w:pPr>
            <w:r>
              <w:t>GE p</w:t>
            </w:r>
            <w:r w:rsidR="008D08B5">
              <w:t>rovide</w:t>
            </w:r>
            <w:r>
              <w:t>s</w:t>
            </w:r>
            <w:r w:rsidR="008D08B5">
              <w:t xml:space="preserve"> students with an exit ticket</w:t>
            </w:r>
            <w:r>
              <w:t>.</w:t>
            </w:r>
          </w:p>
          <w:p w14:paraId="24EA78CA" w14:textId="77777777" w:rsidR="00943084" w:rsidRDefault="00943084" w:rsidP="00B3634B">
            <w:pPr>
              <w:pStyle w:val="ListParagraph"/>
              <w:spacing w:after="120"/>
              <w:ind w:left="0"/>
              <w:rPr>
                <w:b/>
              </w:rPr>
            </w:pPr>
          </w:p>
          <w:p w14:paraId="588D5E56" w14:textId="541E8D86" w:rsidR="00943084" w:rsidRPr="00B3634B" w:rsidRDefault="00943084" w:rsidP="00B3634B">
            <w:pPr>
              <w:pStyle w:val="ListParagraph"/>
              <w:spacing w:after="120"/>
              <w:ind w:left="0"/>
              <w:rPr>
                <w:b/>
              </w:rPr>
            </w:pPr>
            <w:r w:rsidRPr="00B3634B">
              <w:rPr>
                <w:b/>
              </w:rPr>
              <w:t>Question</w:t>
            </w:r>
          </w:p>
          <w:p w14:paraId="21429B27" w14:textId="2AA87B24" w:rsidR="007F2F9D" w:rsidRPr="009065CE" w:rsidRDefault="009063B4" w:rsidP="00B3634B">
            <w:pPr>
              <w:pStyle w:val="ListParagraph"/>
              <w:numPr>
                <w:ilvl w:val="0"/>
                <w:numId w:val="9"/>
              </w:numPr>
              <w:spacing w:after="120"/>
            </w:pPr>
            <w:r>
              <w:t xml:space="preserve">What is the difference between an open circle and a closed circle </w:t>
            </w:r>
            <w:r>
              <w:lastRenderedPageBreak/>
              <w:t>when graphing inequalities</w:t>
            </w:r>
            <w:r w:rsidR="00141154">
              <w:t>?</w:t>
            </w:r>
          </w:p>
        </w:tc>
        <w:tc>
          <w:tcPr>
            <w:tcW w:w="3937" w:type="dxa"/>
          </w:tcPr>
          <w:p w14:paraId="1346F579" w14:textId="1C88D0D9" w:rsidR="007F2F9D" w:rsidRPr="009065CE" w:rsidRDefault="009474F7" w:rsidP="00B3634B">
            <w:pPr>
              <w:spacing w:after="120"/>
            </w:pPr>
            <w:r w:rsidRPr="009143F8">
              <w:lastRenderedPageBreak/>
              <w:t>S</w:t>
            </w:r>
            <w:r>
              <w:t>E s</w:t>
            </w:r>
            <w:r w:rsidRPr="009143F8">
              <w:t>ame</w:t>
            </w:r>
            <w:r w:rsidR="003B37CF">
              <w:t xml:space="preserve"> as GE</w:t>
            </w:r>
            <w:r w:rsidR="008D08B5">
              <w:t>.</w:t>
            </w:r>
          </w:p>
        </w:tc>
      </w:tr>
      <w:tr w:rsidR="007F2F9D" w14:paraId="2A6F3382" w14:textId="77777777" w:rsidTr="00B3634B">
        <w:tc>
          <w:tcPr>
            <w:tcW w:w="1913" w:type="dxa"/>
          </w:tcPr>
          <w:p w14:paraId="5BE79694" w14:textId="55106440" w:rsidR="007F2F9D" w:rsidRPr="009065CE" w:rsidRDefault="007F2F9D" w:rsidP="007F2F9D">
            <w:pPr>
              <w:rPr>
                <w:b/>
              </w:rPr>
            </w:pPr>
            <w:r>
              <w:rPr>
                <w:b/>
              </w:rPr>
              <w:t>Homework</w:t>
            </w:r>
          </w:p>
        </w:tc>
        <w:tc>
          <w:tcPr>
            <w:tcW w:w="2340" w:type="dxa"/>
          </w:tcPr>
          <w:p w14:paraId="718F628B" w14:textId="41742E75" w:rsidR="007F2F9D" w:rsidRDefault="007F2F9D" w:rsidP="007F2F9D">
            <w:r>
              <w:t>Team Teaching</w:t>
            </w:r>
          </w:p>
        </w:tc>
        <w:tc>
          <w:tcPr>
            <w:tcW w:w="4320" w:type="dxa"/>
          </w:tcPr>
          <w:p w14:paraId="6A2DF8F3" w14:textId="32F1AD62" w:rsidR="007F2F9D" w:rsidRDefault="00943084" w:rsidP="00B3634B">
            <w:pPr>
              <w:pStyle w:val="ListParagraph"/>
              <w:spacing w:after="120"/>
              <w:ind w:left="0"/>
            </w:pPr>
            <w:r>
              <w:t>GE c</w:t>
            </w:r>
            <w:r w:rsidR="003A29A5">
              <w:t>omplete</w:t>
            </w:r>
            <w:r>
              <w:t>s</w:t>
            </w:r>
            <w:r w:rsidR="003A29A5">
              <w:t xml:space="preserve"> </w:t>
            </w:r>
            <w:r w:rsidR="00141154">
              <w:t xml:space="preserve">the </w:t>
            </w:r>
            <w:r w:rsidR="003A29A5">
              <w:t xml:space="preserve">Inequalities </w:t>
            </w:r>
            <w:r w:rsidR="00191F15">
              <w:t xml:space="preserve">Practice </w:t>
            </w:r>
            <w:r>
              <w:t>w</w:t>
            </w:r>
            <w:r w:rsidR="003A29A5">
              <w:t xml:space="preserve">orksheet in </w:t>
            </w:r>
            <w:r w:rsidR="00141154">
              <w:t xml:space="preserve">a </w:t>
            </w:r>
            <w:r w:rsidR="003A29A5">
              <w:t>closure activity</w:t>
            </w:r>
            <w:r w:rsidR="00141154">
              <w:t>,</w:t>
            </w:r>
            <w:r w:rsidR="003A29A5">
              <w:t xml:space="preserve"> if necessary. </w:t>
            </w:r>
          </w:p>
        </w:tc>
        <w:tc>
          <w:tcPr>
            <w:tcW w:w="3937" w:type="dxa"/>
          </w:tcPr>
          <w:p w14:paraId="544306F8" w14:textId="7C9563F0" w:rsidR="007F2F9D" w:rsidRDefault="009474F7" w:rsidP="00B3634B">
            <w:pPr>
              <w:spacing w:after="120"/>
            </w:pPr>
            <w:r w:rsidRPr="009143F8">
              <w:t>S</w:t>
            </w:r>
            <w:r>
              <w:t>E s</w:t>
            </w:r>
            <w:r w:rsidRPr="009143F8">
              <w:t>ame</w:t>
            </w:r>
            <w:r w:rsidR="009063B4">
              <w:t xml:space="preserve"> as GE</w:t>
            </w:r>
            <w:r w:rsidR="008D08B5">
              <w:t>.</w:t>
            </w:r>
          </w:p>
        </w:tc>
      </w:tr>
    </w:tbl>
    <w:p w14:paraId="0717CCC9" w14:textId="5B61E7B3" w:rsidR="00AF35C6" w:rsidRDefault="00AF35C6" w:rsidP="007C26A5">
      <w:pPr>
        <w:pStyle w:val="Heading3"/>
        <w:rPr>
          <w:sz w:val="6"/>
        </w:rPr>
      </w:pPr>
    </w:p>
    <w:p w14:paraId="2A9B8187" w14:textId="2EEB9BF8" w:rsidR="00476E09" w:rsidRPr="00A058B4" w:rsidRDefault="00476E09" w:rsidP="00B3634B">
      <w:pPr>
        <w:pStyle w:val="Heading2"/>
        <w:spacing w:before="240"/>
      </w:pPr>
      <w:r>
        <w:t>Specially Designed Instruction</w:t>
      </w:r>
    </w:p>
    <w:p w14:paraId="53F0B9DA" w14:textId="77777777" w:rsidR="001C633D" w:rsidRDefault="007C16D9" w:rsidP="001C633D">
      <w:pPr>
        <w:pStyle w:val="ListParagraph"/>
      </w:pPr>
      <w:r>
        <w:rPr>
          <w:noProof/>
          <w:lang w:eastAsia="en-US"/>
        </w:rPr>
        <w:drawing>
          <wp:inline distT="0" distB="0" distL="0" distR="0" wp14:anchorId="3FFABD62" wp14:editId="11402AA7">
            <wp:extent cx="1261872" cy="850392"/>
            <wp:effectExtent l="0" t="0" r="0" b="6985"/>
            <wp:docPr id="3" name="Picture 3" descr="&quot;graphing george&quot;&#10;" title="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ng George.png"/>
                    <pic:cNvPicPr/>
                  </pic:nvPicPr>
                  <pic:blipFill>
                    <a:blip r:embed="rId9">
                      <a:extLst>
                        <a:ext uri="{28A0092B-C50C-407E-A947-70E740481C1C}">
                          <a14:useLocalDpi xmlns:a14="http://schemas.microsoft.com/office/drawing/2010/main" val="0"/>
                        </a:ext>
                      </a:extLst>
                    </a:blip>
                    <a:stretch>
                      <a:fillRect/>
                    </a:stretch>
                  </pic:blipFill>
                  <pic:spPr>
                    <a:xfrm>
                      <a:off x="0" y="0"/>
                      <a:ext cx="1261872" cy="850392"/>
                    </a:xfrm>
                    <a:prstGeom prst="rect">
                      <a:avLst/>
                    </a:prstGeom>
                  </pic:spPr>
                </pic:pic>
              </a:graphicData>
            </a:graphic>
          </wp:inline>
        </w:drawing>
      </w:r>
    </w:p>
    <w:p w14:paraId="2AC4E692" w14:textId="20AE25E6" w:rsidR="00476E09" w:rsidRDefault="00492776" w:rsidP="00476E09">
      <w:pPr>
        <w:pStyle w:val="ListParagraph"/>
        <w:numPr>
          <w:ilvl w:val="0"/>
          <w:numId w:val="21"/>
        </w:numPr>
      </w:pPr>
      <w:r>
        <w:t>When grouping students for stations, students with historically lower abilities/performance and/or with IEPs should be grouped together to allow for more assistance and SDI within the station activities.</w:t>
      </w:r>
    </w:p>
    <w:p w14:paraId="4BBB90F5" w14:textId="6B1827F3" w:rsidR="00492776" w:rsidRDefault="001C14A1" w:rsidP="00476E09">
      <w:pPr>
        <w:pStyle w:val="ListParagraph"/>
        <w:numPr>
          <w:ilvl w:val="0"/>
          <w:numId w:val="21"/>
        </w:numPr>
      </w:pPr>
      <w:r>
        <w:t xml:space="preserve">When </w:t>
      </w:r>
      <w:r w:rsidR="0040648B">
        <w:t>recall</w:t>
      </w:r>
      <w:r>
        <w:t>ing</w:t>
      </w:r>
      <w:r w:rsidR="0040648B">
        <w:t xml:space="preserve"> graphing rules, p</w:t>
      </w:r>
      <w:r w:rsidR="00DB4080">
        <w:t>rovide</w:t>
      </w:r>
      <w:r w:rsidR="00BA5509">
        <w:t xml:space="preserve"> a</w:t>
      </w:r>
      <w:r w:rsidR="00DB4080">
        <w:t xml:space="preserve"> visual (</w:t>
      </w:r>
      <w:r w:rsidR="00266F53">
        <w:t xml:space="preserve">e.g., </w:t>
      </w:r>
      <w:r w:rsidR="00DB4080">
        <w:t>Graphing George)</w:t>
      </w:r>
      <w:r>
        <w:t xml:space="preserve"> t</w:t>
      </w:r>
      <w:r w:rsidR="000774DE">
        <w:t>o aid</w:t>
      </w:r>
      <w:r>
        <w:t xml:space="preserve"> students.</w:t>
      </w:r>
    </w:p>
    <w:p w14:paraId="6A0BA5ED" w14:textId="5168D148" w:rsidR="00917E7E" w:rsidRDefault="0040648B" w:rsidP="00476E09">
      <w:pPr>
        <w:pStyle w:val="ListParagraph"/>
        <w:numPr>
          <w:ilvl w:val="0"/>
          <w:numId w:val="21"/>
        </w:numPr>
      </w:pPr>
      <w:r>
        <w:t>Instead of requiring students to draw the graph, p</w:t>
      </w:r>
      <w:r w:rsidR="00917E7E">
        <w:t xml:space="preserve">rovide students with </w:t>
      </w:r>
      <w:r w:rsidR="007D5260">
        <w:t xml:space="preserve">a </w:t>
      </w:r>
      <w:r w:rsidR="00917E7E">
        <w:t>sorting activity that has a graph to be matched to the solution</w:t>
      </w:r>
      <w:r>
        <w:t>.</w:t>
      </w:r>
      <w:r w:rsidR="00917E7E">
        <w:t xml:space="preserve"> </w:t>
      </w:r>
    </w:p>
    <w:p w14:paraId="06C2EFFF" w14:textId="3D318DC6" w:rsidR="00476E09" w:rsidRPr="00A058B4" w:rsidRDefault="00476E09" w:rsidP="00B3634B">
      <w:pPr>
        <w:pStyle w:val="Heading2"/>
        <w:spacing w:before="240"/>
      </w:pPr>
      <w:r>
        <w:t>Accommodations</w:t>
      </w:r>
    </w:p>
    <w:p w14:paraId="1BF3954A" w14:textId="65A09780" w:rsidR="00492776" w:rsidRPr="00351F39" w:rsidRDefault="00A06048" w:rsidP="00492776">
      <w:pPr>
        <w:pStyle w:val="ListParagraph"/>
        <w:widowControl/>
        <w:numPr>
          <w:ilvl w:val="0"/>
          <w:numId w:val="22"/>
        </w:numPr>
        <w:rPr>
          <w:rFonts w:asciiTheme="minorHAnsi" w:eastAsia="Times New Roman" w:hAnsiTheme="minorHAnsi" w:cstheme="minorHAnsi"/>
          <w:kern w:val="0"/>
          <w:lang w:eastAsia="en-US" w:bidi="en-US"/>
        </w:rPr>
      </w:pPr>
      <w:r>
        <w:t>P</w:t>
      </w:r>
      <w:r w:rsidR="00492776">
        <w:t xml:space="preserve">rovide </w:t>
      </w:r>
      <w:r>
        <w:t>notes that have the information and steps already typed in to students who require copies of classroom notes as an accommodation</w:t>
      </w:r>
      <w:r w:rsidR="00492776">
        <w:t>. They still have the option of completing the examples for themselves</w:t>
      </w:r>
      <w:r w:rsidR="00266F53">
        <w:t xml:space="preserve"> or </w:t>
      </w:r>
      <w:r w:rsidR="00492776">
        <w:t>with the class.</w:t>
      </w:r>
    </w:p>
    <w:p w14:paraId="713AB841" w14:textId="1B13010A" w:rsidR="00884101" w:rsidRDefault="00492776" w:rsidP="00884101">
      <w:pPr>
        <w:pStyle w:val="ListParagraph"/>
        <w:numPr>
          <w:ilvl w:val="0"/>
          <w:numId w:val="22"/>
        </w:numPr>
      </w:pPr>
      <w:r>
        <w:t>Use different types of manipulatives and online resources to assist students with solving equations.</w:t>
      </w:r>
    </w:p>
    <w:p w14:paraId="74BB8E8B" w14:textId="766C8010" w:rsidR="008A59C4" w:rsidRPr="00B3634B" w:rsidRDefault="00492776" w:rsidP="008A59C4">
      <w:pPr>
        <w:pStyle w:val="Bullet1"/>
        <w:numPr>
          <w:ilvl w:val="0"/>
          <w:numId w:val="22"/>
        </w:numPr>
        <w:spacing w:after="0" w:line="240" w:lineRule="auto"/>
        <w:rPr>
          <w:rFonts w:cstheme="minorHAnsi"/>
          <w:sz w:val="24"/>
          <w:szCs w:val="24"/>
        </w:rPr>
      </w:pPr>
      <w:r>
        <w:rPr>
          <w:rFonts w:ascii="Times New Roman" w:eastAsia="PMingLiU" w:hAnsi="Times New Roman" w:cs="Times New Roman"/>
          <w:kern w:val="2"/>
          <w:sz w:val="24"/>
          <w:szCs w:val="24"/>
          <w:lang w:eastAsia="zh-TW" w:bidi="ar-SA"/>
        </w:rPr>
        <w:t>Have students model/draw each step of solving an equation on a separate balance mat.</w:t>
      </w:r>
    </w:p>
    <w:p w14:paraId="77C71D70" w14:textId="77777777" w:rsidR="00B3634B" w:rsidRPr="00134B98" w:rsidRDefault="00B3634B" w:rsidP="00134B98">
      <w:pPr>
        <w:pStyle w:val="ListParagraph"/>
        <w:numPr>
          <w:ilvl w:val="0"/>
          <w:numId w:val="22"/>
        </w:numPr>
        <w:rPr>
          <w:b/>
        </w:rPr>
      </w:pPr>
      <w:r>
        <w:t>For struggling students, r</w:t>
      </w:r>
      <w:r w:rsidRPr="008631EC">
        <w:t xml:space="preserve">educe </w:t>
      </w:r>
      <w:r>
        <w:t xml:space="preserve">the </w:t>
      </w:r>
      <w:r w:rsidRPr="008631EC">
        <w:t>num</w:t>
      </w:r>
      <w:r>
        <w:t>ber of problems required on a practice worksheet according to IEP accommodations.</w:t>
      </w:r>
    </w:p>
    <w:p w14:paraId="3B79D4EF" w14:textId="77777777" w:rsidR="00B3634B" w:rsidRPr="008A59C4" w:rsidRDefault="00B3634B" w:rsidP="00B3634B">
      <w:pPr>
        <w:pStyle w:val="Bullet1"/>
        <w:numPr>
          <w:ilvl w:val="0"/>
          <w:numId w:val="0"/>
        </w:numPr>
        <w:spacing w:after="0" w:line="240" w:lineRule="auto"/>
        <w:ind w:left="720"/>
        <w:rPr>
          <w:rFonts w:cstheme="minorHAnsi"/>
          <w:sz w:val="24"/>
          <w:szCs w:val="24"/>
        </w:rPr>
      </w:pPr>
    </w:p>
    <w:p w14:paraId="0DFF1B66" w14:textId="1AF57B52" w:rsidR="00476E09" w:rsidRDefault="00476E09" w:rsidP="00B3634B">
      <w:pPr>
        <w:pStyle w:val="Heading2"/>
        <w:spacing w:before="240"/>
      </w:pPr>
      <w:r>
        <w:t>Modifications</w:t>
      </w:r>
    </w:p>
    <w:p w14:paraId="5688AC0A" w14:textId="182C93D1" w:rsidR="00854EEF" w:rsidRPr="00854EEF" w:rsidRDefault="00854EEF" w:rsidP="00854EEF">
      <w:pPr>
        <w:pStyle w:val="ListParagraph"/>
        <w:numPr>
          <w:ilvl w:val="0"/>
          <w:numId w:val="27"/>
        </w:numPr>
      </w:pPr>
      <w:r>
        <w:t>For those students requiring a modified curriculum, content can be modified to include comparing whole numbers or integers using the &lt;,&gt;, + signs.</w:t>
      </w:r>
    </w:p>
    <w:p w14:paraId="2D83C596" w14:textId="77777777" w:rsidR="00476E09" w:rsidRDefault="00476E09" w:rsidP="00B3634B">
      <w:pPr>
        <w:pStyle w:val="Heading2"/>
        <w:spacing w:before="240"/>
      </w:pPr>
      <w:r>
        <w:t>Notes</w:t>
      </w:r>
    </w:p>
    <w:p w14:paraId="333FC62A" w14:textId="3316C145" w:rsidR="001A6459" w:rsidRDefault="001A6459" w:rsidP="001A6459">
      <w:pPr>
        <w:pStyle w:val="ListParagraph"/>
        <w:numPr>
          <w:ilvl w:val="0"/>
          <w:numId w:val="17"/>
        </w:numPr>
      </w:pPr>
      <w:r w:rsidRPr="00CD2C60">
        <w:lastRenderedPageBreak/>
        <w:t xml:space="preserve">“Special </w:t>
      </w:r>
      <w:r w:rsidR="007D5260">
        <w:t>e</w:t>
      </w:r>
      <w:r w:rsidR="007D5260" w:rsidRPr="00CD2C60">
        <w:t>ducator</w:t>
      </w:r>
      <w:r w:rsidRPr="00CD2C60">
        <w:t xml:space="preserve">” as noted in this lesson plan might be an EL </w:t>
      </w:r>
      <w:r w:rsidR="007D5260">
        <w:t>t</w:t>
      </w:r>
      <w:r w:rsidR="007D5260" w:rsidRPr="00CD2C60">
        <w:t>eacher</w:t>
      </w:r>
      <w:r w:rsidRPr="00CD2C60">
        <w:t xml:space="preserve">, </w:t>
      </w:r>
      <w:r w:rsidR="007D5260">
        <w:t>s</w:t>
      </w:r>
      <w:r w:rsidR="007D5260" w:rsidRPr="00CD2C60">
        <w:t xml:space="preserve">peech </w:t>
      </w:r>
      <w:r w:rsidR="007D5260">
        <w:t>p</w:t>
      </w:r>
      <w:r w:rsidR="007D5260" w:rsidRPr="00CD2C60">
        <w:t>athologist</w:t>
      </w:r>
      <w:r w:rsidRPr="00CD2C60">
        <w:t xml:space="preserve">, or other specialist co-teaching with a </w:t>
      </w:r>
      <w:r w:rsidR="007D5260">
        <w:t>g</w:t>
      </w:r>
      <w:r w:rsidR="007D5260" w:rsidRPr="00CD2C60">
        <w:t xml:space="preserve">eneral </w:t>
      </w:r>
      <w:r w:rsidR="007D5260">
        <w:t>e</w:t>
      </w:r>
      <w:r w:rsidR="007D5260" w:rsidRPr="00CD2C60">
        <w:t>ducator</w:t>
      </w:r>
      <w:r>
        <w:t>.</w:t>
      </w:r>
    </w:p>
    <w:p w14:paraId="52DF2613" w14:textId="16115316" w:rsidR="00FB5EB3" w:rsidRPr="00F24C1E" w:rsidRDefault="00FB5EB3" w:rsidP="00FB5EB3">
      <w:pPr>
        <w:pStyle w:val="ListParagraph"/>
        <w:numPr>
          <w:ilvl w:val="0"/>
          <w:numId w:val="17"/>
        </w:numPr>
      </w:pPr>
      <w:r>
        <w:t xml:space="preserve">The co-teachers who developed this lesson plan received required professional development in the use of specialized instructional techniques which combine an explicit instructional routine with the co-construction of a visual device (graphic organizer). </w:t>
      </w:r>
      <w:r>
        <w:rPr>
          <w:szCs w:val="27"/>
        </w:rPr>
        <w:t xml:space="preserve">The </w:t>
      </w:r>
      <w:r>
        <w:rPr>
          <w:i/>
          <w:iCs/>
          <w:szCs w:val="27"/>
        </w:rPr>
        <w:t xml:space="preserve">Vocabulary </w:t>
      </w:r>
      <w:proofErr w:type="spellStart"/>
      <w:r>
        <w:rPr>
          <w:i/>
          <w:iCs/>
          <w:szCs w:val="27"/>
        </w:rPr>
        <w:t>LINCing</w:t>
      </w:r>
      <w:proofErr w:type="spellEnd"/>
      <w:r>
        <w:rPr>
          <w:i/>
          <w:iCs/>
          <w:szCs w:val="27"/>
        </w:rPr>
        <w:t xml:space="preserve"> Routine</w:t>
      </w:r>
      <w:r>
        <w:rPr>
          <w:szCs w:val="27"/>
        </w:rPr>
        <w:t xml:space="preserve"> and its “LINCS Tables” help students learn and remember terms and vocabulary through auditory and visual memory devices</w:t>
      </w:r>
      <w:r>
        <w:t xml:space="preserve">.  These Content Enhancement Routines were developed at the </w:t>
      </w:r>
      <w:hyperlink r:id="rId10" w:history="1">
        <w:r w:rsidRPr="00194F86">
          <w:rPr>
            <w:rStyle w:val="Hyperlink"/>
          </w:rPr>
          <w:t>Center for Research on Learning at the University of Kansas</w:t>
        </w:r>
      </w:hyperlink>
      <w:r w:rsidR="00194F86">
        <w:t xml:space="preserve">. </w:t>
      </w:r>
      <w:r>
        <w:t xml:space="preserve"> </w:t>
      </w:r>
    </w:p>
    <w:p w14:paraId="55C4895B" w14:textId="77777777" w:rsidR="00FB5EB3" w:rsidRPr="000D4C7A" w:rsidRDefault="00FB5EB3" w:rsidP="00FB5EB3">
      <w:pPr>
        <w:pStyle w:val="NormalWeb"/>
        <w:numPr>
          <w:ilvl w:val="0"/>
          <w:numId w:val="17"/>
        </w:numPr>
        <w:textAlignment w:val="baseline"/>
        <w:rPr>
          <w:rFonts w:ascii="Courier New" w:hAnsi="Courier New" w:cs="Courier New"/>
          <w:color w:val="000000"/>
        </w:rPr>
      </w:pPr>
      <w:r>
        <w:rPr>
          <w:color w:val="000000"/>
        </w:rPr>
        <w:t>Other graphic organizers should be used by teachers who have not received professional development in these routines. If Virginia teachers would like to learn content enhancement routines, contact your regional TTAC.</w:t>
      </w:r>
    </w:p>
    <w:p w14:paraId="79218FFD" w14:textId="16BD4D62" w:rsidR="00A06048" w:rsidRDefault="00A06048" w:rsidP="00B3634B">
      <w:pPr>
        <w:pStyle w:val="ListParagraph"/>
        <w:spacing w:after="240"/>
        <w:ind w:left="360"/>
      </w:pPr>
    </w:p>
    <w:p w14:paraId="18088076" w14:textId="77777777" w:rsidR="00CD4489" w:rsidRDefault="00CD4489" w:rsidP="00CD4489">
      <w:pPr>
        <w:pStyle w:val="Heading3"/>
        <w:rPr>
          <w:b w:val="0"/>
        </w:rPr>
      </w:pPr>
      <w:r w:rsidRPr="000053FE">
        <w:rPr>
          <w:rFonts w:cs="Calibri"/>
          <w:bCs/>
        </w:rPr>
        <w:t>Note: The following pages are intended for classroom use for students as a visual aid to learning.</w:t>
      </w:r>
    </w:p>
    <w:p w14:paraId="774E6E0F" w14:textId="77777777" w:rsidR="00CD4489" w:rsidRDefault="00CD4489" w:rsidP="00B3634B">
      <w:pPr>
        <w:pStyle w:val="ListParagraph"/>
        <w:spacing w:after="240"/>
        <w:ind w:left="360"/>
      </w:pPr>
    </w:p>
    <w:p w14:paraId="6E914E05" w14:textId="77777777" w:rsidR="00CB181A" w:rsidRDefault="00A06048" w:rsidP="00A06048">
      <w:pPr>
        <w:pStyle w:val="ListParagraph"/>
        <w:spacing w:after="240"/>
        <w:ind w:left="360"/>
        <w:rPr>
          <w:color w:val="000000"/>
        </w:rPr>
        <w:sectPr w:rsidR="00CB181A" w:rsidSect="007C16D9">
          <w:type w:val="continuous"/>
          <w:pgSz w:w="15840" w:h="12240" w:orient="landscape"/>
          <w:pgMar w:top="1440" w:right="1440" w:bottom="1440" w:left="1440" w:header="720" w:footer="720" w:gutter="0"/>
          <w:cols w:space="720"/>
          <w:noEndnote/>
          <w:docGrid w:linePitch="326"/>
        </w:sectPr>
      </w:pPr>
      <w:r>
        <w:rPr>
          <w:color w:val="000000"/>
        </w:rPr>
        <w:t>Virginia Department of Education©2018</w:t>
      </w:r>
    </w:p>
    <w:p w14:paraId="274FE010" w14:textId="25076A8C" w:rsidR="007135E0" w:rsidRDefault="007135E0">
      <w:pPr>
        <w:widowControl/>
        <w:jc w:val="center"/>
        <w:rPr>
          <w:b/>
          <w:sz w:val="32"/>
          <w:szCs w:val="32"/>
        </w:rPr>
      </w:pPr>
      <w:r w:rsidRPr="00B3634B">
        <w:rPr>
          <w:b/>
          <w:sz w:val="32"/>
          <w:szCs w:val="32"/>
        </w:rPr>
        <w:lastRenderedPageBreak/>
        <w:t>Solving Inequalities Matching Activity Worksheet</w:t>
      </w:r>
    </w:p>
    <w:p w14:paraId="103F3FB2" w14:textId="77777777" w:rsidR="007135E0" w:rsidRDefault="007135E0">
      <w:pPr>
        <w:widowControl/>
        <w:jc w:val="center"/>
        <w:rPr>
          <w:b/>
          <w:sz w:val="32"/>
          <w:szCs w:val="32"/>
        </w:rPr>
      </w:pPr>
    </w:p>
    <w:p w14:paraId="2CF2703F" w14:textId="5A35FD2D" w:rsidR="007135E0" w:rsidRPr="00B3634B" w:rsidRDefault="007135E0" w:rsidP="00EE760E">
      <w:pPr>
        <w:widowControl/>
        <w:jc w:val="center"/>
      </w:pPr>
      <w:r>
        <w:rPr>
          <w:noProof/>
          <w:lang w:eastAsia="en-US"/>
        </w:rPr>
        <w:drawing>
          <wp:inline distT="0" distB="0" distL="0" distR="0" wp14:anchorId="643E9232" wp14:editId="4B022174">
            <wp:extent cx="5080676" cy="6435524"/>
            <wp:effectExtent l="0" t="0" r="5715" b="3810"/>
            <wp:docPr id="2" name="Picture 2" descr="Matching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5089040" cy="6446119"/>
                    </a:xfrm>
                    <a:prstGeom prst="rect">
                      <a:avLst/>
                    </a:prstGeom>
                  </pic:spPr>
                </pic:pic>
              </a:graphicData>
            </a:graphic>
          </wp:inline>
        </w:drawing>
      </w:r>
    </w:p>
    <w:p w14:paraId="6F3FD554" w14:textId="2A70B57D" w:rsidR="00BA73AD" w:rsidRDefault="007135E0" w:rsidP="00DE069D">
      <w:pPr>
        <w:widowControl/>
      </w:pPr>
      <w:r>
        <w:rPr>
          <w:sz w:val="44"/>
          <w:szCs w:val="44"/>
        </w:rPr>
        <w:br w:type="page"/>
      </w:r>
      <w:bookmarkStart w:id="0" w:name="_GoBack"/>
      <w:bookmarkEnd w:id="0"/>
    </w:p>
    <w:p w14:paraId="7EE7D95E" w14:textId="14A894F3" w:rsidR="00BA73AD" w:rsidRDefault="002A52FF" w:rsidP="00BA73AD">
      <w:pPr>
        <w:widowControl/>
        <w:jc w:val="center"/>
      </w:pPr>
      <w:r>
        <w:rPr>
          <w:noProof/>
          <w:lang w:eastAsia="en-US"/>
        </w:rPr>
        <w:lastRenderedPageBreak/>
        <w:drawing>
          <wp:inline distT="0" distB="0" distL="0" distR="0" wp14:anchorId="2266F3BD" wp14:editId="436A1FBF">
            <wp:extent cx="5844949" cy="5688280"/>
            <wp:effectExtent l="0" t="0" r="3810" b="8255"/>
            <wp:docPr id="1" name="Picture 1" descr="Inequality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4193" cy="5707008"/>
                    </a:xfrm>
                    <a:prstGeom prst="rect">
                      <a:avLst/>
                    </a:prstGeom>
                  </pic:spPr>
                </pic:pic>
              </a:graphicData>
            </a:graphic>
          </wp:inline>
        </w:drawing>
      </w:r>
    </w:p>
    <w:p w14:paraId="58EB9C5B" w14:textId="77777777" w:rsidR="00BA73AD" w:rsidRDefault="00BA73AD">
      <w:pPr>
        <w:widowControl/>
      </w:pPr>
      <w:r>
        <w:br w:type="page"/>
      </w:r>
    </w:p>
    <w:p w14:paraId="30B95886" w14:textId="77777777" w:rsidR="00266F53" w:rsidRDefault="00266F53" w:rsidP="00266F53">
      <w:pPr>
        <w:widowControl/>
        <w:jc w:val="center"/>
        <w:rPr>
          <w:b/>
          <w:sz w:val="32"/>
          <w:szCs w:val="32"/>
        </w:rPr>
      </w:pPr>
      <w:r w:rsidRPr="00F2569F">
        <w:rPr>
          <w:b/>
          <w:sz w:val="32"/>
          <w:szCs w:val="32"/>
        </w:rPr>
        <w:lastRenderedPageBreak/>
        <w:t>Solving Inequalities Matching Activity Worksheet</w:t>
      </w:r>
    </w:p>
    <w:p w14:paraId="752F31AF" w14:textId="77777777" w:rsidR="00266F53" w:rsidRDefault="00266F53">
      <w:pPr>
        <w:widowControl/>
      </w:pPr>
    </w:p>
    <w:p w14:paraId="2E920A86" w14:textId="6EFC7E63" w:rsidR="00266F53" w:rsidRDefault="00266F53" w:rsidP="00B3634B">
      <w:pPr>
        <w:widowControl/>
        <w:jc w:val="center"/>
      </w:pPr>
      <w:r>
        <w:rPr>
          <w:noProof/>
          <w:lang w:eastAsia="en-US"/>
        </w:rPr>
        <w:drawing>
          <wp:inline distT="0" distB="0" distL="0" distR="0" wp14:anchorId="6789A169" wp14:editId="653B38C1">
            <wp:extent cx="4717683" cy="6097855"/>
            <wp:effectExtent l="0" t="0" r="6985" b="0"/>
            <wp:docPr id="43" name="Picture 43"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4724160" cy="6106227"/>
                    </a:xfrm>
                    <a:prstGeom prst="rect">
                      <a:avLst/>
                    </a:prstGeom>
                  </pic:spPr>
                </pic:pic>
              </a:graphicData>
            </a:graphic>
          </wp:inline>
        </w:drawing>
      </w:r>
    </w:p>
    <w:p w14:paraId="33AA8B93" w14:textId="77777777" w:rsidR="00266F53" w:rsidRDefault="00266F53">
      <w:pPr>
        <w:widowControl/>
      </w:pPr>
    </w:p>
    <w:p w14:paraId="2E1AFA71" w14:textId="020CAA0D" w:rsidR="00266F53" w:rsidRDefault="00266F53">
      <w:pPr>
        <w:widowControl/>
        <w:rPr>
          <w:sz w:val="44"/>
          <w:szCs w:val="44"/>
        </w:rPr>
      </w:pPr>
      <w:r>
        <w:rPr>
          <w:sz w:val="44"/>
          <w:szCs w:val="44"/>
        </w:rPr>
        <w:br w:type="page"/>
      </w:r>
    </w:p>
    <w:p w14:paraId="03D8E499" w14:textId="373B85FC" w:rsidR="001A2E0F" w:rsidRDefault="001A2E0F" w:rsidP="00620319">
      <w:pPr>
        <w:pStyle w:val="Heading2"/>
        <w:jc w:val="center"/>
      </w:pPr>
      <w:r>
        <w:lastRenderedPageBreak/>
        <w:t>Inequalities Practice Worksheet</w:t>
      </w:r>
    </w:p>
    <w:p w14:paraId="32C67549" w14:textId="77777777" w:rsidR="001A2E0F" w:rsidRDefault="001A2E0F" w:rsidP="00620319">
      <w:pPr>
        <w:pStyle w:val="Heading2"/>
        <w:jc w:val="center"/>
      </w:pPr>
    </w:p>
    <w:p w14:paraId="18C32D82" w14:textId="58E498E8" w:rsidR="001A2E0F" w:rsidRDefault="001A2E0F" w:rsidP="00B3634B">
      <w:pPr>
        <w:jc w:val="center"/>
      </w:pPr>
      <w:r>
        <w:rPr>
          <w:noProof/>
          <w:lang w:eastAsia="en-US"/>
        </w:rPr>
        <w:drawing>
          <wp:inline distT="0" distB="0" distL="0" distR="0" wp14:anchorId="54CAE39B" wp14:editId="4D9ECBEB">
            <wp:extent cx="5191850" cy="5944430"/>
            <wp:effectExtent l="0" t="0" r="8890" b="0"/>
            <wp:docPr id="44" name="Picture 44" descr="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191850" cy="5944430"/>
                    </a:xfrm>
                    <a:prstGeom prst="rect">
                      <a:avLst/>
                    </a:prstGeom>
                  </pic:spPr>
                </pic:pic>
              </a:graphicData>
            </a:graphic>
          </wp:inline>
        </w:drawing>
      </w:r>
    </w:p>
    <w:p w14:paraId="10572278" w14:textId="77777777" w:rsidR="001A2E0F" w:rsidRDefault="001A2E0F">
      <w:pPr>
        <w:widowControl/>
        <w:sectPr w:rsidR="001A2E0F" w:rsidSect="00BF046F">
          <w:pgSz w:w="12240" w:h="15840"/>
          <w:pgMar w:top="1440" w:right="1440" w:bottom="990" w:left="1440" w:header="720" w:footer="720" w:gutter="0"/>
          <w:cols w:space="720"/>
          <w:noEndnote/>
          <w:docGrid w:linePitch="326"/>
        </w:sectPr>
      </w:pPr>
      <w:r>
        <w:br w:type="page"/>
      </w:r>
    </w:p>
    <w:p w14:paraId="5388E226" w14:textId="6B8E7046" w:rsidR="009C331B" w:rsidRDefault="001A2E0F">
      <w:pPr>
        <w:widowControl/>
        <w:jc w:val="center"/>
        <w:rPr>
          <w:b/>
          <w:sz w:val="32"/>
          <w:szCs w:val="32"/>
        </w:rPr>
      </w:pPr>
      <w:r w:rsidRPr="00B3634B">
        <w:rPr>
          <w:b/>
          <w:sz w:val="32"/>
          <w:szCs w:val="32"/>
        </w:rPr>
        <w:lastRenderedPageBreak/>
        <w:t xml:space="preserve">Vocabulary </w:t>
      </w:r>
      <w:proofErr w:type="spellStart"/>
      <w:r w:rsidRPr="00B3634B">
        <w:rPr>
          <w:b/>
          <w:sz w:val="32"/>
          <w:szCs w:val="32"/>
        </w:rPr>
        <w:t>LINCing</w:t>
      </w:r>
      <w:proofErr w:type="spellEnd"/>
      <w:r w:rsidRPr="00B3634B">
        <w:rPr>
          <w:b/>
          <w:sz w:val="32"/>
          <w:szCs w:val="32"/>
        </w:rPr>
        <w:t xml:space="preserve"> Routine Diagram</w:t>
      </w:r>
      <w:r w:rsidR="00382677">
        <w:rPr>
          <w:b/>
          <w:sz w:val="32"/>
          <w:szCs w:val="32"/>
        </w:rPr>
        <w:t xml:space="preserve"> (blank)</w:t>
      </w:r>
    </w:p>
    <w:p w14:paraId="604CF90B" w14:textId="77777777" w:rsidR="001A2E0F" w:rsidRPr="00B3634B" w:rsidRDefault="001A2E0F">
      <w:pPr>
        <w:widowControl/>
        <w:jc w:val="center"/>
        <w:rPr>
          <w:b/>
          <w:sz w:val="32"/>
          <w:szCs w:val="32"/>
        </w:rPr>
      </w:pPr>
    </w:p>
    <w:p w14:paraId="3E588054" w14:textId="77777777" w:rsidR="001A2E0F" w:rsidRDefault="001A2E0F" w:rsidP="00B3634B">
      <w:pPr>
        <w:widowControl/>
      </w:pPr>
    </w:p>
    <w:p w14:paraId="2A510F0A" w14:textId="5C7670B1" w:rsidR="001A2E0F" w:rsidRDefault="001A2E0F" w:rsidP="001A2E0F">
      <w:pPr>
        <w:widowControl/>
        <w:jc w:val="center"/>
      </w:pPr>
      <w:r>
        <w:rPr>
          <w:noProof/>
          <w:lang w:eastAsia="en-US"/>
        </w:rPr>
        <w:drawing>
          <wp:inline distT="0" distB="0" distL="0" distR="0" wp14:anchorId="19911F05" wp14:editId="7D31E4FA">
            <wp:extent cx="7339764" cy="5072743"/>
            <wp:effectExtent l="0" t="0" r="0" b="0"/>
            <wp:docPr id="45" name="Picture 45" descr="LInc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7352836" cy="5081778"/>
                    </a:xfrm>
                    <a:prstGeom prst="rect">
                      <a:avLst/>
                    </a:prstGeom>
                  </pic:spPr>
                </pic:pic>
              </a:graphicData>
            </a:graphic>
          </wp:inline>
        </w:drawing>
      </w:r>
    </w:p>
    <w:p w14:paraId="46CE220C" w14:textId="77777777" w:rsidR="001A2E0F" w:rsidRDefault="001A2E0F">
      <w:pPr>
        <w:widowControl/>
      </w:pPr>
      <w:r>
        <w:br w:type="page"/>
      </w:r>
    </w:p>
    <w:p w14:paraId="78C91E94" w14:textId="62FDBF88" w:rsidR="001A2E0F" w:rsidRDefault="001A2E0F" w:rsidP="001A2E0F">
      <w:pPr>
        <w:widowControl/>
        <w:jc w:val="center"/>
        <w:rPr>
          <w:b/>
          <w:sz w:val="32"/>
          <w:szCs w:val="32"/>
        </w:rPr>
      </w:pPr>
      <w:r w:rsidRPr="00F2569F">
        <w:rPr>
          <w:b/>
          <w:sz w:val="32"/>
          <w:szCs w:val="32"/>
        </w:rPr>
        <w:lastRenderedPageBreak/>
        <w:t xml:space="preserve">Vocabulary </w:t>
      </w:r>
      <w:proofErr w:type="spellStart"/>
      <w:r w:rsidRPr="00F2569F">
        <w:rPr>
          <w:b/>
          <w:sz w:val="32"/>
          <w:szCs w:val="32"/>
        </w:rPr>
        <w:t>LINCing</w:t>
      </w:r>
      <w:proofErr w:type="spellEnd"/>
      <w:r w:rsidRPr="00F2569F">
        <w:rPr>
          <w:b/>
          <w:sz w:val="32"/>
          <w:szCs w:val="32"/>
        </w:rPr>
        <w:t xml:space="preserve"> Routine Diagram</w:t>
      </w:r>
      <w:r>
        <w:rPr>
          <w:b/>
          <w:sz w:val="32"/>
          <w:szCs w:val="32"/>
        </w:rPr>
        <w:t xml:space="preserve"> (completed)</w:t>
      </w:r>
    </w:p>
    <w:p w14:paraId="56A715D7" w14:textId="77777777" w:rsidR="001A2E0F" w:rsidRDefault="001A2E0F" w:rsidP="001A2E0F">
      <w:pPr>
        <w:widowControl/>
        <w:jc w:val="center"/>
        <w:rPr>
          <w:b/>
          <w:sz w:val="32"/>
          <w:szCs w:val="32"/>
        </w:rPr>
      </w:pPr>
    </w:p>
    <w:p w14:paraId="5E6F81FB" w14:textId="7E024A37" w:rsidR="009C331B" w:rsidRDefault="009C331B" w:rsidP="00BA73AD">
      <w:pPr>
        <w:widowControl/>
        <w:jc w:val="center"/>
      </w:pPr>
      <w:r>
        <w:rPr>
          <w:noProof/>
          <w:lang w:eastAsia="en-US"/>
        </w:rPr>
        <w:drawing>
          <wp:inline distT="0" distB="0" distL="0" distR="0" wp14:anchorId="38E6128C" wp14:editId="55430315">
            <wp:extent cx="4945431" cy="6910161"/>
            <wp:effectExtent l="8255" t="0" r="0" b="0"/>
            <wp:docPr id="8" name="Picture 8" descr="completed Linc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6200000">
                      <a:off x="0" y="0"/>
                      <a:ext cx="4970056" cy="6944568"/>
                    </a:xfrm>
                    <a:prstGeom prst="rect">
                      <a:avLst/>
                    </a:prstGeom>
                  </pic:spPr>
                </pic:pic>
              </a:graphicData>
            </a:graphic>
          </wp:inline>
        </w:drawing>
      </w:r>
    </w:p>
    <w:p w14:paraId="547B8CD6" w14:textId="0D28AEAC" w:rsidR="00E155AC" w:rsidRPr="00DE069D" w:rsidRDefault="00E155AC" w:rsidP="00B3634B">
      <w:pPr>
        <w:widowControl/>
      </w:pPr>
    </w:p>
    <w:sectPr w:rsidR="00E155AC" w:rsidRPr="00DE069D" w:rsidSect="00B3634B">
      <w:pgSz w:w="15840" w:h="12240" w:orient="landscape"/>
      <w:pgMar w:top="1440" w:right="1440" w:bottom="1440" w:left="99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29EF" w14:textId="77777777" w:rsidR="00C12B52" w:rsidRDefault="00C12B52" w:rsidP="00774BF2">
      <w:r>
        <w:separator/>
      </w:r>
    </w:p>
  </w:endnote>
  <w:endnote w:type="continuationSeparator" w:id="0">
    <w:p w14:paraId="4B947552" w14:textId="77777777" w:rsidR="00C12B52" w:rsidRDefault="00C12B52"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oto Sans Symbols">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749488"/>
      <w:docPartObj>
        <w:docPartGallery w:val="Page Numbers (Bottom of Page)"/>
        <w:docPartUnique/>
      </w:docPartObj>
    </w:sdtPr>
    <w:sdtEndPr>
      <w:rPr>
        <w:noProof/>
      </w:rPr>
    </w:sdtEndPr>
    <w:sdtContent>
      <w:p w14:paraId="4C743C8C" w14:textId="6F218C6D" w:rsidR="0040648B" w:rsidRDefault="0040648B">
        <w:pPr>
          <w:pStyle w:val="Footer"/>
          <w:jc w:val="right"/>
        </w:pPr>
        <w:r>
          <w:fldChar w:fldCharType="begin"/>
        </w:r>
        <w:r>
          <w:instrText xml:space="preserve"> PAGE   \* MERGEFORMAT </w:instrText>
        </w:r>
        <w:r>
          <w:fldChar w:fldCharType="separate"/>
        </w:r>
        <w:r w:rsidR="00762DB7">
          <w:rPr>
            <w:noProof/>
          </w:rPr>
          <w:t>11</w:t>
        </w:r>
        <w:r>
          <w:rPr>
            <w:noProof/>
          </w:rPr>
          <w:fldChar w:fldCharType="end"/>
        </w:r>
      </w:p>
    </w:sdtContent>
  </w:sdt>
  <w:p w14:paraId="70DC41C5" w14:textId="77777777" w:rsidR="00D075F5" w:rsidRDefault="00D07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FFC1" w14:textId="77777777" w:rsidR="00C12B52" w:rsidRDefault="00C12B52" w:rsidP="00774BF2">
      <w:r>
        <w:separator/>
      </w:r>
    </w:p>
  </w:footnote>
  <w:footnote w:type="continuationSeparator" w:id="0">
    <w:p w14:paraId="7BBAE7ED" w14:textId="77777777" w:rsidR="00C12B52" w:rsidRDefault="00C12B52"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B0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450B0"/>
    <w:multiLevelType w:val="hybridMultilevel"/>
    <w:tmpl w:val="D8329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888"/>
    <w:multiLevelType w:val="hybridMultilevel"/>
    <w:tmpl w:val="CF7A1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D3B61"/>
    <w:multiLevelType w:val="hybridMultilevel"/>
    <w:tmpl w:val="F762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631D9"/>
    <w:multiLevelType w:val="hybridMultilevel"/>
    <w:tmpl w:val="F880FD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931101"/>
    <w:multiLevelType w:val="hybridMultilevel"/>
    <w:tmpl w:val="E9A4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1784A"/>
    <w:multiLevelType w:val="hybridMultilevel"/>
    <w:tmpl w:val="0718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3EF1343"/>
    <w:multiLevelType w:val="hybridMultilevel"/>
    <w:tmpl w:val="44CCA4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A296F"/>
    <w:multiLevelType w:val="hybridMultilevel"/>
    <w:tmpl w:val="11D6A6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EB47D13"/>
    <w:multiLevelType w:val="hybridMultilevel"/>
    <w:tmpl w:val="5D9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F7B48"/>
    <w:multiLevelType w:val="hybridMultilevel"/>
    <w:tmpl w:val="B44E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F616D"/>
    <w:multiLevelType w:val="hybridMultilevel"/>
    <w:tmpl w:val="74EAC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95C36"/>
    <w:multiLevelType w:val="hybridMultilevel"/>
    <w:tmpl w:val="E89AE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F4385"/>
    <w:multiLevelType w:val="multilevel"/>
    <w:tmpl w:val="2ABA664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0"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6113E24"/>
    <w:multiLevelType w:val="hybridMultilevel"/>
    <w:tmpl w:val="E89AE9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8"/>
  </w:num>
  <w:num w:numId="3">
    <w:abstractNumId w:val="20"/>
  </w:num>
  <w:num w:numId="4">
    <w:abstractNumId w:val="12"/>
  </w:num>
  <w:num w:numId="5">
    <w:abstractNumId w:val="14"/>
  </w:num>
  <w:num w:numId="6">
    <w:abstractNumId w:val="19"/>
  </w:num>
  <w:num w:numId="7">
    <w:abstractNumId w:val="11"/>
  </w:num>
  <w:num w:numId="8">
    <w:abstractNumId w:val="24"/>
  </w:num>
  <w:num w:numId="9">
    <w:abstractNumId w:val="25"/>
  </w:num>
  <w:num w:numId="10">
    <w:abstractNumId w:val="3"/>
  </w:num>
  <w:num w:numId="11">
    <w:abstractNumId w:val="31"/>
  </w:num>
  <w:num w:numId="12">
    <w:abstractNumId w:val="23"/>
  </w:num>
  <w:num w:numId="13">
    <w:abstractNumId w:val="30"/>
  </w:num>
  <w:num w:numId="14">
    <w:abstractNumId w:val="2"/>
  </w:num>
  <w:num w:numId="15">
    <w:abstractNumId w:val="22"/>
  </w:num>
  <w:num w:numId="16">
    <w:abstractNumId w:val="13"/>
  </w:num>
  <w:num w:numId="17">
    <w:abstractNumId w:val="21"/>
  </w:num>
  <w:num w:numId="18">
    <w:abstractNumId w:val="13"/>
  </w:num>
  <w:num w:numId="19">
    <w:abstractNumId w:val="17"/>
  </w:num>
  <w:num w:numId="20">
    <w:abstractNumId w:val="4"/>
  </w:num>
  <w:num w:numId="21">
    <w:abstractNumId w:val="5"/>
  </w:num>
  <w:num w:numId="22">
    <w:abstractNumId w:val="0"/>
  </w:num>
  <w:num w:numId="23">
    <w:abstractNumId w:val="16"/>
  </w:num>
  <w:num w:numId="24">
    <w:abstractNumId w:val="1"/>
  </w:num>
  <w:num w:numId="25">
    <w:abstractNumId w:val="28"/>
  </w:num>
  <w:num w:numId="26">
    <w:abstractNumId w:val="8"/>
  </w:num>
  <w:num w:numId="27">
    <w:abstractNumId w:val="26"/>
  </w:num>
  <w:num w:numId="28">
    <w:abstractNumId w:val="6"/>
  </w:num>
  <w:num w:numId="29">
    <w:abstractNumId w:val="32"/>
  </w:num>
  <w:num w:numId="30">
    <w:abstractNumId w:val="27"/>
  </w:num>
  <w:num w:numId="31">
    <w:abstractNumId w:val="29"/>
  </w:num>
  <w:num w:numId="32">
    <w:abstractNumId w:val="10"/>
  </w:num>
  <w:num w:numId="33">
    <w:abstractNumId w:val="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106CD"/>
    <w:rsid w:val="00017C9C"/>
    <w:rsid w:val="00042954"/>
    <w:rsid w:val="000462EB"/>
    <w:rsid w:val="000774DE"/>
    <w:rsid w:val="000A3549"/>
    <w:rsid w:val="000A55A3"/>
    <w:rsid w:val="000C6E68"/>
    <w:rsid w:val="000D12F4"/>
    <w:rsid w:val="000E292B"/>
    <w:rsid w:val="000E7B7C"/>
    <w:rsid w:val="00100A61"/>
    <w:rsid w:val="00103A14"/>
    <w:rsid w:val="00115633"/>
    <w:rsid w:val="0011608D"/>
    <w:rsid w:val="00121F8F"/>
    <w:rsid w:val="00134B98"/>
    <w:rsid w:val="00141154"/>
    <w:rsid w:val="001451D0"/>
    <w:rsid w:val="00151D52"/>
    <w:rsid w:val="00152131"/>
    <w:rsid w:val="00153BA3"/>
    <w:rsid w:val="001558CB"/>
    <w:rsid w:val="00155AB7"/>
    <w:rsid w:val="00172AD5"/>
    <w:rsid w:val="0018083C"/>
    <w:rsid w:val="00182F36"/>
    <w:rsid w:val="00191F15"/>
    <w:rsid w:val="00194F86"/>
    <w:rsid w:val="001A0274"/>
    <w:rsid w:val="001A2E0F"/>
    <w:rsid w:val="001A44FF"/>
    <w:rsid w:val="001A48CA"/>
    <w:rsid w:val="001A6459"/>
    <w:rsid w:val="001A72E2"/>
    <w:rsid w:val="001B029D"/>
    <w:rsid w:val="001B2839"/>
    <w:rsid w:val="001C14A1"/>
    <w:rsid w:val="001C633D"/>
    <w:rsid w:val="001D5D44"/>
    <w:rsid w:val="002045A4"/>
    <w:rsid w:val="00222410"/>
    <w:rsid w:val="0023471C"/>
    <w:rsid w:val="00252680"/>
    <w:rsid w:val="002562B6"/>
    <w:rsid w:val="0025660F"/>
    <w:rsid w:val="002645C4"/>
    <w:rsid w:val="00264E9D"/>
    <w:rsid w:val="00266F53"/>
    <w:rsid w:val="00271DEA"/>
    <w:rsid w:val="00292352"/>
    <w:rsid w:val="002A1B95"/>
    <w:rsid w:val="002A52FF"/>
    <w:rsid w:val="002E3FEF"/>
    <w:rsid w:val="002F1A63"/>
    <w:rsid w:val="0030291A"/>
    <w:rsid w:val="00335572"/>
    <w:rsid w:val="00351F39"/>
    <w:rsid w:val="00354FC9"/>
    <w:rsid w:val="00357AC9"/>
    <w:rsid w:val="00376092"/>
    <w:rsid w:val="00382677"/>
    <w:rsid w:val="00390AA9"/>
    <w:rsid w:val="00395C7D"/>
    <w:rsid w:val="003978F7"/>
    <w:rsid w:val="003A29A5"/>
    <w:rsid w:val="003B37CF"/>
    <w:rsid w:val="003B49F3"/>
    <w:rsid w:val="003B4D66"/>
    <w:rsid w:val="003B564E"/>
    <w:rsid w:val="003C48C8"/>
    <w:rsid w:val="003C4B57"/>
    <w:rsid w:val="003D0237"/>
    <w:rsid w:val="003E1332"/>
    <w:rsid w:val="003E61FC"/>
    <w:rsid w:val="0040648B"/>
    <w:rsid w:val="00436DC6"/>
    <w:rsid w:val="00456996"/>
    <w:rsid w:val="00465B1A"/>
    <w:rsid w:val="00476E09"/>
    <w:rsid w:val="0048397F"/>
    <w:rsid w:val="00492776"/>
    <w:rsid w:val="00497B6F"/>
    <w:rsid w:val="004A0B0A"/>
    <w:rsid w:val="004A0D6D"/>
    <w:rsid w:val="004A0EBF"/>
    <w:rsid w:val="004A2F8D"/>
    <w:rsid w:val="004C28B8"/>
    <w:rsid w:val="004C685C"/>
    <w:rsid w:val="004D0D3F"/>
    <w:rsid w:val="004F14BD"/>
    <w:rsid w:val="004F324C"/>
    <w:rsid w:val="00500BAA"/>
    <w:rsid w:val="00505A3F"/>
    <w:rsid w:val="005066DE"/>
    <w:rsid w:val="0051783C"/>
    <w:rsid w:val="005424DE"/>
    <w:rsid w:val="00545D4A"/>
    <w:rsid w:val="00546249"/>
    <w:rsid w:val="00562831"/>
    <w:rsid w:val="00572C2B"/>
    <w:rsid w:val="00574CFE"/>
    <w:rsid w:val="005803DA"/>
    <w:rsid w:val="00581CF3"/>
    <w:rsid w:val="00586693"/>
    <w:rsid w:val="00586A2C"/>
    <w:rsid w:val="005E2D63"/>
    <w:rsid w:val="005F0AF9"/>
    <w:rsid w:val="00620319"/>
    <w:rsid w:val="00625042"/>
    <w:rsid w:val="0062797D"/>
    <w:rsid w:val="00641C89"/>
    <w:rsid w:val="006440CC"/>
    <w:rsid w:val="0065543F"/>
    <w:rsid w:val="00656E6A"/>
    <w:rsid w:val="00660634"/>
    <w:rsid w:val="0066327C"/>
    <w:rsid w:val="006735E2"/>
    <w:rsid w:val="0067749F"/>
    <w:rsid w:val="006A6421"/>
    <w:rsid w:val="006C3070"/>
    <w:rsid w:val="006E741A"/>
    <w:rsid w:val="00712C0C"/>
    <w:rsid w:val="007135E0"/>
    <w:rsid w:val="00716943"/>
    <w:rsid w:val="00720709"/>
    <w:rsid w:val="00720A4E"/>
    <w:rsid w:val="00747967"/>
    <w:rsid w:val="00762DB7"/>
    <w:rsid w:val="00763570"/>
    <w:rsid w:val="00774BF2"/>
    <w:rsid w:val="00781530"/>
    <w:rsid w:val="00784AFD"/>
    <w:rsid w:val="00792C9B"/>
    <w:rsid w:val="007A13D7"/>
    <w:rsid w:val="007A3078"/>
    <w:rsid w:val="007B73B4"/>
    <w:rsid w:val="007C16D9"/>
    <w:rsid w:val="007C26A5"/>
    <w:rsid w:val="007C33F0"/>
    <w:rsid w:val="007C7CA3"/>
    <w:rsid w:val="007D30B6"/>
    <w:rsid w:val="007D5260"/>
    <w:rsid w:val="007E2E92"/>
    <w:rsid w:val="007E4BB5"/>
    <w:rsid w:val="007E68DB"/>
    <w:rsid w:val="007F2F9D"/>
    <w:rsid w:val="00805F3D"/>
    <w:rsid w:val="00854EEF"/>
    <w:rsid w:val="00855854"/>
    <w:rsid w:val="008612BE"/>
    <w:rsid w:val="008631EC"/>
    <w:rsid w:val="00867493"/>
    <w:rsid w:val="00883AD6"/>
    <w:rsid w:val="00884101"/>
    <w:rsid w:val="00885417"/>
    <w:rsid w:val="00891035"/>
    <w:rsid w:val="008A2C0B"/>
    <w:rsid w:val="008A59C4"/>
    <w:rsid w:val="008B1220"/>
    <w:rsid w:val="008C2ACB"/>
    <w:rsid w:val="008C33E5"/>
    <w:rsid w:val="008D08B5"/>
    <w:rsid w:val="008D785B"/>
    <w:rsid w:val="008E6DAD"/>
    <w:rsid w:val="008E77A6"/>
    <w:rsid w:val="008F07A5"/>
    <w:rsid w:val="00902DE3"/>
    <w:rsid w:val="009063B4"/>
    <w:rsid w:val="009065CE"/>
    <w:rsid w:val="00916069"/>
    <w:rsid w:val="00917E7E"/>
    <w:rsid w:val="00922469"/>
    <w:rsid w:val="00931D19"/>
    <w:rsid w:val="00933D60"/>
    <w:rsid w:val="009341F0"/>
    <w:rsid w:val="00935287"/>
    <w:rsid w:val="009424CC"/>
    <w:rsid w:val="00942605"/>
    <w:rsid w:val="00943084"/>
    <w:rsid w:val="009474F7"/>
    <w:rsid w:val="00953ED4"/>
    <w:rsid w:val="00953FC7"/>
    <w:rsid w:val="00960463"/>
    <w:rsid w:val="00965536"/>
    <w:rsid w:val="00972E04"/>
    <w:rsid w:val="00975DE5"/>
    <w:rsid w:val="00976105"/>
    <w:rsid w:val="00987C0C"/>
    <w:rsid w:val="009A16DF"/>
    <w:rsid w:val="009B3DDA"/>
    <w:rsid w:val="009B7B65"/>
    <w:rsid w:val="009C331B"/>
    <w:rsid w:val="009E59B7"/>
    <w:rsid w:val="009E62B1"/>
    <w:rsid w:val="009F3AE7"/>
    <w:rsid w:val="009F3C5A"/>
    <w:rsid w:val="00A01CEC"/>
    <w:rsid w:val="00A058B4"/>
    <w:rsid w:val="00A06048"/>
    <w:rsid w:val="00A323D8"/>
    <w:rsid w:val="00A36C22"/>
    <w:rsid w:val="00A53652"/>
    <w:rsid w:val="00A653E6"/>
    <w:rsid w:val="00A7358E"/>
    <w:rsid w:val="00A74F53"/>
    <w:rsid w:val="00A75DD1"/>
    <w:rsid w:val="00A76969"/>
    <w:rsid w:val="00A966CE"/>
    <w:rsid w:val="00A96EBE"/>
    <w:rsid w:val="00AA05DA"/>
    <w:rsid w:val="00AA0D0E"/>
    <w:rsid w:val="00AA3493"/>
    <w:rsid w:val="00AA4502"/>
    <w:rsid w:val="00AB533B"/>
    <w:rsid w:val="00AC01F8"/>
    <w:rsid w:val="00AC39F3"/>
    <w:rsid w:val="00AD08D6"/>
    <w:rsid w:val="00AD2013"/>
    <w:rsid w:val="00AE0361"/>
    <w:rsid w:val="00AE2C0E"/>
    <w:rsid w:val="00AE44C4"/>
    <w:rsid w:val="00AF35C6"/>
    <w:rsid w:val="00B22882"/>
    <w:rsid w:val="00B22983"/>
    <w:rsid w:val="00B32A5F"/>
    <w:rsid w:val="00B32D2A"/>
    <w:rsid w:val="00B3634B"/>
    <w:rsid w:val="00B4278B"/>
    <w:rsid w:val="00B55B18"/>
    <w:rsid w:val="00B55D67"/>
    <w:rsid w:val="00B67FBF"/>
    <w:rsid w:val="00B730AF"/>
    <w:rsid w:val="00B95AE8"/>
    <w:rsid w:val="00B95BE3"/>
    <w:rsid w:val="00B96418"/>
    <w:rsid w:val="00BA29A4"/>
    <w:rsid w:val="00BA4F2C"/>
    <w:rsid w:val="00BA5509"/>
    <w:rsid w:val="00BA73AD"/>
    <w:rsid w:val="00BF046F"/>
    <w:rsid w:val="00BF422C"/>
    <w:rsid w:val="00C06B7A"/>
    <w:rsid w:val="00C12B52"/>
    <w:rsid w:val="00C13064"/>
    <w:rsid w:val="00C1405E"/>
    <w:rsid w:val="00C478E7"/>
    <w:rsid w:val="00C50389"/>
    <w:rsid w:val="00C54491"/>
    <w:rsid w:val="00C60F96"/>
    <w:rsid w:val="00C65A0A"/>
    <w:rsid w:val="00C70E99"/>
    <w:rsid w:val="00C9350C"/>
    <w:rsid w:val="00CA77D4"/>
    <w:rsid w:val="00CB181A"/>
    <w:rsid w:val="00CB3241"/>
    <w:rsid w:val="00CC12F5"/>
    <w:rsid w:val="00CC6596"/>
    <w:rsid w:val="00CD2C60"/>
    <w:rsid w:val="00CD4489"/>
    <w:rsid w:val="00CE6CE9"/>
    <w:rsid w:val="00CF2234"/>
    <w:rsid w:val="00D03428"/>
    <w:rsid w:val="00D073E0"/>
    <w:rsid w:val="00D075F5"/>
    <w:rsid w:val="00D11590"/>
    <w:rsid w:val="00D357EC"/>
    <w:rsid w:val="00D36B6B"/>
    <w:rsid w:val="00D50FB1"/>
    <w:rsid w:val="00D561CF"/>
    <w:rsid w:val="00D65C52"/>
    <w:rsid w:val="00D92326"/>
    <w:rsid w:val="00D953F1"/>
    <w:rsid w:val="00DA52FD"/>
    <w:rsid w:val="00DB2D8E"/>
    <w:rsid w:val="00DB4080"/>
    <w:rsid w:val="00DC34B1"/>
    <w:rsid w:val="00DC6A1C"/>
    <w:rsid w:val="00DE069D"/>
    <w:rsid w:val="00DE7C23"/>
    <w:rsid w:val="00DF73F3"/>
    <w:rsid w:val="00E155AC"/>
    <w:rsid w:val="00E178BF"/>
    <w:rsid w:val="00E300A8"/>
    <w:rsid w:val="00E3045B"/>
    <w:rsid w:val="00E40032"/>
    <w:rsid w:val="00E45A8B"/>
    <w:rsid w:val="00E70FC2"/>
    <w:rsid w:val="00E758AB"/>
    <w:rsid w:val="00E77516"/>
    <w:rsid w:val="00E83807"/>
    <w:rsid w:val="00E83A54"/>
    <w:rsid w:val="00E85668"/>
    <w:rsid w:val="00E90CF0"/>
    <w:rsid w:val="00E93DA8"/>
    <w:rsid w:val="00EA1319"/>
    <w:rsid w:val="00ED012E"/>
    <w:rsid w:val="00ED2A25"/>
    <w:rsid w:val="00EE2B51"/>
    <w:rsid w:val="00EE4761"/>
    <w:rsid w:val="00EE760E"/>
    <w:rsid w:val="00EF1E8E"/>
    <w:rsid w:val="00F030FC"/>
    <w:rsid w:val="00F14257"/>
    <w:rsid w:val="00F1433B"/>
    <w:rsid w:val="00F44FAD"/>
    <w:rsid w:val="00F468B2"/>
    <w:rsid w:val="00F52057"/>
    <w:rsid w:val="00F57421"/>
    <w:rsid w:val="00F624C2"/>
    <w:rsid w:val="00F948BF"/>
    <w:rsid w:val="00F96E10"/>
    <w:rsid w:val="00FB0DF8"/>
    <w:rsid w:val="00FB3BB6"/>
    <w:rsid w:val="00FB5EB3"/>
    <w:rsid w:val="00FC20D4"/>
    <w:rsid w:val="00FD3D3E"/>
    <w:rsid w:val="00FE6168"/>
    <w:rsid w:val="00FF546C"/>
    <w:rsid w:val="00FF7A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4AD6B9"/>
  <w15:docId w15:val="{A1E24336-092F-4B5F-83B0-A53D209C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character" w:styleId="PlaceholderText">
    <w:name w:val="Placeholder Text"/>
    <w:basedOn w:val="DefaultParagraphFont"/>
    <w:uiPriority w:val="99"/>
    <w:unhideWhenUsed/>
    <w:rsid w:val="00DE069D"/>
    <w:rPr>
      <w:color w:val="808080"/>
    </w:rPr>
  </w:style>
  <w:style w:type="paragraph" w:customStyle="1" w:styleId="Normal1">
    <w:name w:val="Normal1"/>
    <w:rsid w:val="003978F7"/>
    <w:pPr>
      <w:widowControl w:val="0"/>
      <w:pBdr>
        <w:top w:val="nil"/>
        <w:left w:val="nil"/>
        <w:bottom w:val="nil"/>
        <w:right w:val="nil"/>
        <w:between w:val="nil"/>
      </w:pBdr>
    </w:pPr>
    <w:rPr>
      <w:rFonts w:eastAsia="Times New Roman"/>
      <w:color w:val="000000"/>
      <w:sz w:val="24"/>
      <w:szCs w:val="24"/>
    </w:rPr>
  </w:style>
  <w:style w:type="paragraph" w:styleId="NormalWeb">
    <w:name w:val="Normal (Web)"/>
    <w:basedOn w:val="Normal"/>
    <w:uiPriority w:val="99"/>
    <w:unhideWhenUsed/>
    <w:rsid w:val="00FB5EB3"/>
    <w:pPr>
      <w:widowControl/>
    </w:pPr>
    <w:rPr>
      <w:rFonts w:eastAsiaTheme="minorHAns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51827">
      <w:bodyDiv w:val="1"/>
      <w:marLeft w:val="0"/>
      <w:marRight w:val="0"/>
      <w:marTop w:val="0"/>
      <w:marBottom w:val="0"/>
      <w:divBdr>
        <w:top w:val="none" w:sz="0" w:space="0" w:color="auto"/>
        <w:left w:val="none" w:sz="0" w:space="0" w:color="auto"/>
        <w:bottom w:val="none" w:sz="0" w:space="0" w:color="auto"/>
        <w:right w:val="none" w:sz="0" w:space="0" w:color="auto"/>
      </w:divBdr>
    </w:div>
    <w:div w:id="19802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kucrl.org/sim/brochures/CEoverview.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562B-8866-4E1C-AF27-6CE1222B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1026</Words>
  <Characters>5986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6999</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Hope, Kristin (DOE)</cp:lastModifiedBy>
  <cp:revision>7</cp:revision>
  <cp:lastPrinted>2018-01-11T23:23:00Z</cp:lastPrinted>
  <dcterms:created xsi:type="dcterms:W3CDTF">2018-11-28T14:29:00Z</dcterms:created>
  <dcterms:modified xsi:type="dcterms:W3CDTF">2018-12-18T15:00:00Z</dcterms:modified>
</cp:coreProperties>
</file>