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A79" w:rsidRDefault="00D85A79" w:rsidP="00835F2F">
      <w:pPr>
        <w:jc w:val="center"/>
        <w:rPr>
          <w:rFonts w:ascii="Calibri" w:eastAsia="Calibri" w:hAnsi="Calibri"/>
          <w:b/>
          <w:sz w:val="24"/>
          <w:szCs w:val="24"/>
        </w:rPr>
      </w:pPr>
    </w:p>
    <w:p w:rsidR="00835F2F" w:rsidRPr="0007609F" w:rsidRDefault="00835F2F" w:rsidP="00835F2F">
      <w:pPr>
        <w:jc w:val="center"/>
        <w:rPr>
          <w:rFonts w:eastAsia="Calibri"/>
          <w:b/>
          <w:sz w:val="24"/>
          <w:szCs w:val="24"/>
        </w:rPr>
      </w:pPr>
      <w:r w:rsidRPr="0007609F">
        <w:rPr>
          <w:rFonts w:eastAsia="Calibri"/>
          <w:b/>
          <w:sz w:val="24"/>
          <w:szCs w:val="24"/>
        </w:rPr>
        <w:t>Frequently Asked</w:t>
      </w:r>
      <w:r w:rsidR="00C74B0B" w:rsidRPr="0007609F">
        <w:rPr>
          <w:rFonts w:eastAsia="Calibri"/>
          <w:b/>
          <w:sz w:val="24"/>
          <w:szCs w:val="24"/>
        </w:rPr>
        <w:t xml:space="preserve"> C</w:t>
      </w:r>
      <w:r w:rsidR="000D7CB6">
        <w:rPr>
          <w:rFonts w:eastAsia="Calibri"/>
          <w:b/>
          <w:sz w:val="24"/>
          <w:szCs w:val="24"/>
        </w:rPr>
        <w:t xml:space="preserve">ommunity </w:t>
      </w:r>
      <w:r w:rsidR="00C74B0B" w:rsidRPr="0007609F">
        <w:rPr>
          <w:rFonts w:eastAsia="Calibri"/>
          <w:b/>
          <w:sz w:val="24"/>
          <w:szCs w:val="24"/>
        </w:rPr>
        <w:t>E</w:t>
      </w:r>
      <w:r w:rsidR="000D7CB6">
        <w:rPr>
          <w:rFonts w:eastAsia="Calibri"/>
          <w:b/>
          <w:sz w:val="24"/>
          <w:szCs w:val="24"/>
        </w:rPr>
        <w:t xml:space="preserve">ligibility </w:t>
      </w:r>
      <w:r w:rsidR="00C74B0B" w:rsidRPr="0007609F">
        <w:rPr>
          <w:rFonts w:eastAsia="Calibri"/>
          <w:b/>
          <w:sz w:val="24"/>
          <w:szCs w:val="24"/>
        </w:rPr>
        <w:t>P</w:t>
      </w:r>
      <w:r w:rsidR="000D7CB6">
        <w:rPr>
          <w:rFonts w:eastAsia="Calibri"/>
          <w:b/>
          <w:sz w:val="24"/>
          <w:szCs w:val="24"/>
        </w:rPr>
        <w:t>rovision (CEP)</w:t>
      </w:r>
      <w:r w:rsidRPr="0007609F">
        <w:rPr>
          <w:rFonts w:eastAsia="Calibri"/>
          <w:b/>
          <w:sz w:val="24"/>
          <w:szCs w:val="24"/>
        </w:rPr>
        <w:t xml:space="preserve"> Questions </w:t>
      </w:r>
    </w:p>
    <w:p w:rsidR="001E4B15" w:rsidRPr="0007609F" w:rsidRDefault="001E4B15" w:rsidP="00835F2F">
      <w:pPr>
        <w:jc w:val="center"/>
        <w:rPr>
          <w:rFonts w:eastAsia="Calibri"/>
          <w:b/>
          <w:sz w:val="24"/>
          <w:szCs w:val="24"/>
        </w:rPr>
      </w:pPr>
    </w:p>
    <w:p w:rsidR="00252025" w:rsidRPr="0007609F" w:rsidRDefault="00252025" w:rsidP="00835F2F">
      <w:pPr>
        <w:jc w:val="center"/>
        <w:rPr>
          <w:rFonts w:eastAsia="Calibri"/>
          <w:b/>
          <w:sz w:val="24"/>
          <w:szCs w:val="24"/>
        </w:rPr>
      </w:pPr>
    </w:p>
    <w:p w:rsidR="001E4B15" w:rsidRPr="0007609F" w:rsidRDefault="001E4B15" w:rsidP="001E4B15">
      <w:pPr>
        <w:pBdr>
          <w:top w:val="single" w:sz="4" w:space="1" w:color="auto"/>
          <w:left w:val="single" w:sz="4" w:space="4" w:color="auto"/>
          <w:bottom w:val="single" w:sz="4" w:space="1" w:color="auto"/>
          <w:right w:val="single" w:sz="4" w:space="4" w:color="auto"/>
        </w:pBdr>
        <w:jc w:val="center"/>
        <w:rPr>
          <w:rFonts w:eastAsia="Calibri"/>
          <w:b/>
          <w:sz w:val="24"/>
          <w:szCs w:val="24"/>
        </w:rPr>
      </w:pPr>
      <w:r w:rsidRPr="0007609F">
        <w:rPr>
          <w:rFonts w:eastAsia="Calibri"/>
          <w:b/>
          <w:sz w:val="24"/>
          <w:szCs w:val="24"/>
        </w:rPr>
        <w:t>LEA and School Level Eligibility</w:t>
      </w:r>
    </w:p>
    <w:p w:rsidR="001E4B15" w:rsidRPr="0007609F" w:rsidRDefault="001E4B15" w:rsidP="001E4B15">
      <w:pPr>
        <w:tabs>
          <w:tab w:val="left" w:pos="5625"/>
        </w:tabs>
        <w:ind w:left="360"/>
        <w:rPr>
          <w:rFonts w:eastAsia="Calibri"/>
          <w:sz w:val="24"/>
          <w:szCs w:val="24"/>
        </w:rPr>
      </w:pPr>
    </w:p>
    <w:p w:rsidR="007501F6" w:rsidRPr="0007609F" w:rsidRDefault="007501F6" w:rsidP="007501F6">
      <w:pPr>
        <w:numPr>
          <w:ilvl w:val="0"/>
          <w:numId w:val="27"/>
        </w:numPr>
        <w:spacing w:after="200" w:line="276" w:lineRule="auto"/>
        <w:contextualSpacing/>
        <w:rPr>
          <w:rFonts w:eastAsia="Calibri"/>
          <w:b/>
          <w:sz w:val="24"/>
          <w:szCs w:val="24"/>
        </w:rPr>
      </w:pPr>
      <w:r w:rsidRPr="0007609F">
        <w:rPr>
          <w:rFonts w:eastAsia="Calibri"/>
          <w:b/>
          <w:sz w:val="24"/>
          <w:szCs w:val="24"/>
        </w:rPr>
        <w:t>What schools are eligible to participate in the CEP?</w:t>
      </w:r>
    </w:p>
    <w:p w:rsidR="007501F6" w:rsidRPr="0007609F" w:rsidRDefault="007501F6" w:rsidP="007501F6">
      <w:pPr>
        <w:spacing w:after="200" w:line="276" w:lineRule="auto"/>
        <w:ind w:left="360"/>
        <w:rPr>
          <w:rFonts w:eastAsia="Calibri"/>
          <w:sz w:val="24"/>
          <w:szCs w:val="24"/>
        </w:rPr>
      </w:pPr>
      <w:r w:rsidRPr="0007609F">
        <w:rPr>
          <w:rFonts w:eastAsia="Calibri"/>
          <w:sz w:val="24"/>
          <w:szCs w:val="24"/>
        </w:rPr>
        <w:t>Any school participat</w:t>
      </w:r>
      <w:r>
        <w:rPr>
          <w:rFonts w:eastAsia="Calibri"/>
          <w:sz w:val="24"/>
          <w:szCs w:val="24"/>
        </w:rPr>
        <w:t>ing</w:t>
      </w:r>
      <w:r w:rsidRPr="0007609F">
        <w:rPr>
          <w:rFonts w:eastAsia="Calibri"/>
          <w:sz w:val="24"/>
          <w:szCs w:val="24"/>
        </w:rPr>
        <w:t xml:space="preserve"> in the National School Lunch Program (NSLP) and the School Breakfast Program (SBP) and meet</w:t>
      </w:r>
      <w:r>
        <w:rPr>
          <w:rFonts w:eastAsia="Calibri"/>
          <w:sz w:val="24"/>
          <w:szCs w:val="24"/>
        </w:rPr>
        <w:t>ing</w:t>
      </w:r>
      <w:r w:rsidRPr="0007609F">
        <w:rPr>
          <w:rFonts w:eastAsia="Calibri"/>
          <w:sz w:val="24"/>
          <w:szCs w:val="24"/>
        </w:rPr>
        <w:t xml:space="preserve"> the eligibility criteria to elect the CEP may participate.  </w:t>
      </w:r>
    </w:p>
    <w:p w:rsidR="001E4B15" w:rsidRPr="0007609F" w:rsidRDefault="001E4B15" w:rsidP="001E4B15">
      <w:pPr>
        <w:numPr>
          <w:ilvl w:val="0"/>
          <w:numId w:val="27"/>
        </w:numPr>
        <w:contextualSpacing/>
        <w:rPr>
          <w:rFonts w:eastAsia="Calibri"/>
          <w:b/>
          <w:sz w:val="24"/>
          <w:szCs w:val="24"/>
        </w:rPr>
      </w:pPr>
      <w:r w:rsidRPr="0007609F">
        <w:rPr>
          <w:rFonts w:eastAsia="Calibri"/>
          <w:b/>
          <w:sz w:val="24"/>
          <w:szCs w:val="24"/>
        </w:rPr>
        <w:t xml:space="preserve">Does each individual school </w:t>
      </w:r>
      <w:r w:rsidR="00A32B98" w:rsidRPr="0007609F">
        <w:rPr>
          <w:rFonts w:eastAsia="Calibri"/>
          <w:b/>
          <w:sz w:val="24"/>
          <w:szCs w:val="24"/>
        </w:rPr>
        <w:t xml:space="preserve">need to </w:t>
      </w:r>
      <w:r w:rsidRPr="0007609F">
        <w:rPr>
          <w:rFonts w:eastAsia="Calibri"/>
          <w:b/>
          <w:sz w:val="24"/>
          <w:szCs w:val="24"/>
        </w:rPr>
        <w:t xml:space="preserve">meet the 40% identified student percentage, or may the 40% threshold be based on an aggregate of schools in the LEA?  </w:t>
      </w:r>
    </w:p>
    <w:p w:rsidR="006A1096" w:rsidRDefault="001E4B15">
      <w:pPr>
        <w:spacing w:line="276" w:lineRule="auto"/>
        <w:ind w:left="360"/>
        <w:rPr>
          <w:rFonts w:eastAsia="Calibri"/>
          <w:sz w:val="24"/>
          <w:szCs w:val="24"/>
        </w:rPr>
      </w:pPr>
      <w:r w:rsidRPr="0007609F">
        <w:rPr>
          <w:rFonts w:eastAsia="Calibri"/>
          <w:sz w:val="24"/>
          <w:szCs w:val="24"/>
        </w:rPr>
        <w:t xml:space="preserve">The 40% threshold may be determined school-by-school, by a group of schools within the LEA, or in the aggregate for an entire LEA.  </w:t>
      </w:r>
      <w:r w:rsidR="000D7CB6">
        <w:rPr>
          <w:rFonts w:eastAsia="Calibri"/>
          <w:sz w:val="24"/>
          <w:szCs w:val="24"/>
        </w:rPr>
        <w:t xml:space="preserve">This does allow for some schools to be below the 40% threshold as long as the aggregate of the group of schools </w:t>
      </w:r>
      <w:r w:rsidR="007501F6">
        <w:rPr>
          <w:rFonts w:eastAsia="Calibri"/>
          <w:sz w:val="24"/>
          <w:szCs w:val="24"/>
        </w:rPr>
        <w:t>meets</w:t>
      </w:r>
      <w:r w:rsidR="000D7CB6">
        <w:rPr>
          <w:rFonts w:eastAsia="Calibri"/>
          <w:sz w:val="24"/>
          <w:szCs w:val="24"/>
        </w:rPr>
        <w:t xml:space="preserve"> the threshold.   </w:t>
      </w:r>
      <w:r w:rsidR="004513E8">
        <w:rPr>
          <w:rFonts w:eastAsia="Calibri"/>
          <w:sz w:val="24"/>
          <w:szCs w:val="24"/>
        </w:rPr>
        <w:t>The</w:t>
      </w:r>
      <w:r w:rsidRPr="0007609F">
        <w:rPr>
          <w:rFonts w:eastAsia="Calibri"/>
          <w:sz w:val="24"/>
          <w:szCs w:val="24"/>
        </w:rPr>
        <w:t xml:space="preserve"> LEA must determine whether they can operate the program given the expected level of Federal reimbursement and other non-Federal resources available to them. </w:t>
      </w:r>
    </w:p>
    <w:p w:rsidR="007501F6" w:rsidRDefault="007501F6">
      <w:pPr>
        <w:spacing w:line="276" w:lineRule="auto"/>
        <w:ind w:left="360"/>
        <w:rPr>
          <w:rFonts w:eastAsia="Calibri"/>
          <w:sz w:val="24"/>
          <w:szCs w:val="24"/>
        </w:rPr>
      </w:pPr>
    </w:p>
    <w:p w:rsidR="007501F6" w:rsidRPr="0007609F" w:rsidRDefault="007501F6" w:rsidP="007501F6">
      <w:pPr>
        <w:numPr>
          <w:ilvl w:val="0"/>
          <w:numId w:val="27"/>
        </w:numPr>
        <w:spacing w:after="200" w:line="276" w:lineRule="auto"/>
        <w:contextualSpacing/>
        <w:rPr>
          <w:rFonts w:eastAsia="Calibri"/>
          <w:sz w:val="24"/>
          <w:szCs w:val="24"/>
        </w:rPr>
      </w:pPr>
      <w:r w:rsidRPr="0007609F">
        <w:rPr>
          <w:rFonts w:eastAsia="Calibri"/>
          <w:b/>
          <w:sz w:val="24"/>
          <w:szCs w:val="24"/>
        </w:rPr>
        <w:t>How is the identified student percentage determined for groups of schools electing CEP?</w:t>
      </w:r>
    </w:p>
    <w:p w:rsidR="007501F6" w:rsidRPr="0007609F" w:rsidRDefault="007501F6" w:rsidP="007501F6">
      <w:pPr>
        <w:spacing w:after="200" w:line="276" w:lineRule="auto"/>
        <w:ind w:left="360"/>
        <w:contextualSpacing/>
        <w:rPr>
          <w:rFonts w:eastAsia="Calibri"/>
          <w:sz w:val="24"/>
          <w:szCs w:val="24"/>
        </w:rPr>
      </w:pPr>
      <w:r w:rsidRPr="0007609F">
        <w:rPr>
          <w:rFonts w:eastAsia="Calibri"/>
          <w:sz w:val="24"/>
          <w:szCs w:val="24"/>
        </w:rPr>
        <w:t>The identified student percentage for a group of schools is calculated by taking the sum of the identified students for the</w:t>
      </w:r>
      <w:r>
        <w:rPr>
          <w:rFonts w:eastAsia="Calibri"/>
          <w:sz w:val="24"/>
          <w:szCs w:val="24"/>
        </w:rPr>
        <w:t xml:space="preserve"> entire</w:t>
      </w:r>
      <w:r w:rsidRPr="0007609F">
        <w:rPr>
          <w:rFonts w:eastAsia="Calibri"/>
          <w:sz w:val="24"/>
          <w:szCs w:val="24"/>
        </w:rPr>
        <w:t xml:space="preserve"> group of schools divided by the sum of the total student enrollment for the entire group of schools. </w:t>
      </w:r>
    </w:p>
    <w:p w:rsidR="001E4B15" w:rsidRPr="0007609F" w:rsidRDefault="001E4B15" w:rsidP="001E4B15">
      <w:pPr>
        <w:rPr>
          <w:rFonts w:eastAsia="Calibri"/>
          <w:sz w:val="24"/>
          <w:szCs w:val="24"/>
        </w:rPr>
      </w:pPr>
    </w:p>
    <w:p w:rsidR="001E4B15" w:rsidRPr="0007609F" w:rsidRDefault="001E4B15" w:rsidP="001E4B15">
      <w:pPr>
        <w:numPr>
          <w:ilvl w:val="0"/>
          <w:numId w:val="27"/>
        </w:numPr>
        <w:contextualSpacing/>
        <w:rPr>
          <w:rFonts w:eastAsia="Calibri"/>
          <w:b/>
          <w:sz w:val="24"/>
          <w:szCs w:val="24"/>
        </w:rPr>
      </w:pPr>
      <w:r w:rsidRPr="0007609F">
        <w:rPr>
          <w:rFonts w:eastAsia="Calibri"/>
          <w:b/>
          <w:sz w:val="24"/>
          <w:szCs w:val="24"/>
        </w:rPr>
        <w:t xml:space="preserve">Are new schools able to elect the </w:t>
      </w:r>
      <w:r w:rsidR="00A03DE9" w:rsidRPr="0007609F">
        <w:rPr>
          <w:rFonts w:eastAsia="Calibri"/>
          <w:b/>
          <w:sz w:val="24"/>
          <w:szCs w:val="24"/>
        </w:rPr>
        <w:t>CEP</w:t>
      </w:r>
      <w:r w:rsidRPr="0007609F">
        <w:rPr>
          <w:rFonts w:eastAsia="Calibri"/>
          <w:b/>
          <w:sz w:val="24"/>
          <w:szCs w:val="24"/>
        </w:rPr>
        <w:t>?</w:t>
      </w:r>
    </w:p>
    <w:p w:rsidR="001E4B15" w:rsidRPr="0007609F" w:rsidRDefault="001E4B15" w:rsidP="00487081">
      <w:pPr>
        <w:spacing w:after="200" w:line="276" w:lineRule="auto"/>
        <w:ind w:left="360"/>
        <w:rPr>
          <w:rFonts w:eastAsia="Calibri"/>
          <w:sz w:val="24"/>
          <w:szCs w:val="24"/>
        </w:rPr>
      </w:pPr>
      <w:r w:rsidRPr="0007609F">
        <w:rPr>
          <w:rFonts w:eastAsia="Calibri"/>
          <w:sz w:val="24"/>
          <w:szCs w:val="24"/>
        </w:rPr>
        <w:t xml:space="preserve">If the number of identified students and total enrollment are available before the counting and claiming of meals begins and the school meets the eligibility requirements, then the </w:t>
      </w:r>
      <w:r w:rsidR="000D7CB6">
        <w:rPr>
          <w:rFonts w:eastAsia="Calibri"/>
          <w:sz w:val="24"/>
          <w:szCs w:val="24"/>
        </w:rPr>
        <w:t>LEA</w:t>
      </w:r>
      <w:r w:rsidR="000D7CB6" w:rsidRPr="0007609F">
        <w:rPr>
          <w:rFonts w:eastAsia="Calibri"/>
          <w:sz w:val="24"/>
          <w:szCs w:val="24"/>
        </w:rPr>
        <w:t xml:space="preserve"> </w:t>
      </w:r>
      <w:r w:rsidRPr="0007609F">
        <w:rPr>
          <w:rFonts w:eastAsia="Calibri"/>
          <w:sz w:val="24"/>
          <w:szCs w:val="24"/>
        </w:rPr>
        <w:t xml:space="preserve">may elect </w:t>
      </w:r>
      <w:r w:rsidR="007B2F88">
        <w:rPr>
          <w:rFonts w:eastAsia="Calibri"/>
          <w:sz w:val="24"/>
          <w:szCs w:val="24"/>
        </w:rPr>
        <w:t xml:space="preserve">to have the school participate </w:t>
      </w:r>
      <w:r w:rsidRPr="0007609F">
        <w:rPr>
          <w:rFonts w:eastAsia="Calibri"/>
          <w:sz w:val="24"/>
          <w:szCs w:val="24"/>
        </w:rPr>
        <w:t>or be included in a group of schools.  If the number of identified students and enrollment are not available</w:t>
      </w:r>
      <w:r w:rsidR="00487081" w:rsidRPr="0007609F">
        <w:rPr>
          <w:rFonts w:eastAsia="Calibri"/>
          <w:sz w:val="24"/>
          <w:szCs w:val="24"/>
        </w:rPr>
        <w:t>,</w:t>
      </w:r>
      <w:r w:rsidRPr="0007609F">
        <w:rPr>
          <w:rFonts w:eastAsia="Calibri"/>
          <w:sz w:val="24"/>
          <w:szCs w:val="24"/>
        </w:rPr>
        <w:t xml:space="preserve"> the </w:t>
      </w:r>
      <w:r w:rsidR="007B2F88">
        <w:rPr>
          <w:rFonts w:eastAsia="Calibri"/>
          <w:sz w:val="24"/>
          <w:szCs w:val="24"/>
        </w:rPr>
        <w:t xml:space="preserve">LEA may not include the </w:t>
      </w:r>
      <w:r w:rsidRPr="0007609F">
        <w:rPr>
          <w:rFonts w:eastAsia="Calibri"/>
          <w:sz w:val="24"/>
          <w:szCs w:val="24"/>
        </w:rPr>
        <w:t xml:space="preserve">new school </w:t>
      </w:r>
      <w:r w:rsidR="007B2F88">
        <w:rPr>
          <w:rFonts w:eastAsia="Calibri"/>
          <w:sz w:val="24"/>
          <w:szCs w:val="24"/>
        </w:rPr>
        <w:t>in</w:t>
      </w:r>
      <w:r w:rsidRPr="0007609F">
        <w:rPr>
          <w:rFonts w:eastAsia="Calibri"/>
          <w:sz w:val="24"/>
          <w:szCs w:val="24"/>
        </w:rPr>
        <w:t xml:space="preserve"> </w:t>
      </w:r>
      <w:r w:rsidR="00A03DE9" w:rsidRPr="0007609F">
        <w:rPr>
          <w:rFonts w:eastAsia="Calibri"/>
          <w:sz w:val="24"/>
          <w:szCs w:val="24"/>
        </w:rPr>
        <w:t>CEP</w:t>
      </w:r>
      <w:r w:rsidRPr="0007609F">
        <w:rPr>
          <w:rFonts w:eastAsia="Calibri"/>
          <w:sz w:val="24"/>
          <w:szCs w:val="24"/>
        </w:rPr>
        <w:t>.</w:t>
      </w:r>
    </w:p>
    <w:p w:rsidR="001E4B15" w:rsidRPr="0007609F" w:rsidRDefault="001E4B15" w:rsidP="001E4B15">
      <w:pPr>
        <w:numPr>
          <w:ilvl w:val="0"/>
          <w:numId w:val="27"/>
        </w:numPr>
        <w:spacing w:after="200" w:line="276" w:lineRule="auto"/>
        <w:contextualSpacing/>
        <w:rPr>
          <w:rFonts w:eastAsia="Calibri"/>
          <w:sz w:val="24"/>
          <w:szCs w:val="24"/>
        </w:rPr>
      </w:pPr>
      <w:r w:rsidRPr="0007609F">
        <w:rPr>
          <w:rFonts w:eastAsia="Calibri"/>
          <w:b/>
          <w:sz w:val="24"/>
          <w:szCs w:val="24"/>
        </w:rPr>
        <w:t xml:space="preserve">If </w:t>
      </w:r>
      <w:r w:rsidR="007B2F88">
        <w:rPr>
          <w:rFonts w:eastAsia="Calibri"/>
          <w:b/>
          <w:sz w:val="24"/>
          <w:szCs w:val="24"/>
        </w:rPr>
        <w:t>an LEA</w:t>
      </w:r>
      <w:r w:rsidRPr="0007609F">
        <w:rPr>
          <w:rFonts w:eastAsia="Calibri"/>
          <w:b/>
          <w:sz w:val="24"/>
          <w:szCs w:val="24"/>
        </w:rPr>
        <w:t xml:space="preserve"> </w:t>
      </w:r>
      <w:r w:rsidR="00A32B98" w:rsidRPr="0007609F">
        <w:rPr>
          <w:rFonts w:eastAsia="Calibri"/>
          <w:b/>
          <w:sz w:val="24"/>
          <w:szCs w:val="24"/>
        </w:rPr>
        <w:t xml:space="preserve">has a </w:t>
      </w:r>
      <w:r w:rsidR="007B2F88">
        <w:rPr>
          <w:rFonts w:eastAsia="Calibri"/>
          <w:b/>
          <w:sz w:val="24"/>
          <w:szCs w:val="24"/>
        </w:rPr>
        <w:t>LEA</w:t>
      </w:r>
      <w:r w:rsidR="00A32B98" w:rsidRPr="0007609F">
        <w:rPr>
          <w:rFonts w:eastAsia="Calibri"/>
          <w:b/>
          <w:sz w:val="24"/>
          <w:szCs w:val="24"/>
        </w:rPr>
        <w:t>-wide identified student percentage of at least 40%</w:t>
      </w:r>
      <w:r w:rsidRPr="0007609F">
        <w:rPr>
          <w:rFonts w:eastAsia="Calibri"/>
          <w:b/>
          <w:sz w:val="24"/>
          <w:szCs w:val="24"/>
        </w:rPr>
        <w:t xml:space="preserve"> but </w:t>
      </w:r>
      <w:r w:rsidR="00452144">
        <w:rPr>
          <w:rFonts w:eastAsia="Calibri"/>
          <w:b/>
          <w:sz w:val="24"/>
          <w:szCs w:val="24"/>
        </w:rPr>
        <w:t xml:space="preserve">later chooses to drop </w:t>
      </w:r>
      <w:r w:rsidRPr="0007609F">
        <w:rPr>
          <w:rFonts w:eastAsia="Calibri"/>
          <w:b/>
          <w:sz w:val="24"/>
          <w:szCs w:val="24"/>
        </w:rPr>
        <w:t xml:space="preserve">some schools, does the </w:t>
      </w:r>
      <w:r w:rsidR="007B2F88">
        <w:rPr>
          <w:rFonts w:eastAsia="Calibri"/>
          <w:b/>
          <w:sz w:val="24"/>
          <w:szCs w:val="24"/>
        </w:rPr>
        <w:t>LEA</w:t>
      </w:r>
      <w:r w:rsidR="007B2F88" w:rsidRPr="0007609F">
        <w:rPr>
          <w:rFonts w:eastAsia="Calibri"/>
          <w:b/>
          <w:sz w:val="24"/>
          <w:szCs w:val="24"/>
        </w:rPr>
        <w:t xml:space="preserve"> </w:t>
      </w:r>
      <w:r w:rsidRPr="0007609F">
        <w:rPr>
          <w:rFonts w:eastAsia="Calibri"/>
          <w:b/>
          <w:sz w:val="24"/>
          <w:szCs w:val="24"/>
        </w:rPr>
        <w:t>still qualify?</w:t>
      </w:r>
    </w:p>
    <w:p w:rsidR="009137BE" w:rsidRDefault="001E4B15" w:rsidP="001E4B15">
      <w:pPr>
        <w:spacing w:after="200" w:line="276" w:lineRule="auto"/>
        <w:ind w:left="360"/>
        <w:rPr>
          <w:rFonts w:eastAsia="Calibri"/>
          <w:sz w:val="24"/>
          <w:szCs w:val="24"/>
        </w:rPr>
      </w:pPr>
      <w:r w:rsidRPr="0007609F">
        <w:rPr>
          <w:rFonts w:eastAsia="Calibri"/>
          <w:sz w:val="24"/>
          <w:szCs w:val="24"/>
        </w:rPr>
        <w:t xml:space="preserve">The identified student percentage threshold must be met by the </w:t>
      </w:r>
      <w:r w:rsidR="00452144">
        <w:rPr>
          <w:rFonts w:eastAsia="Calibri"/>
          <w:sz w:val="24"/>
          <w:szCs w:val="24"/>
        </w:rPr>
        <w:t xml:space="preserve">LEA or group of </w:t>
      </w:r>
      <w:r w:rsidRPr="0007609F">
        <w:rPr>
          <w:rFonts w:eastAsia="Calibri"/>
          <w:sz w:val="24"/>
          <w:szCs w:val="24"/>
        </w:rPr>
        <w:t>participating schools.</w:t>
      </w:r>
      <w:r w:rsidR="00487081" w:rsidRPr="0007609F">
        <w:rPr>
          <w:rFonts w:eastAsia="Calibri"/>
          <w:sz w:val="24"/>
          <w:szCs w:val="24"/>
        </w:rPr>
        <w:t xml:space="preserve"> </w:t>
      </w:r>
      <w:r w:rsidRPr="0007609F">
        <w:rPr>
          <w:rFonts w:eastAsia="Calibri"/>
          <w:sz w:val="24"/>
          <w:szCs w:val="24"/>
        </w:rPr>
        <w:t xml:space="preserve"> If the threshold is not met as an entire LEA with the deletion of the schools, the LEA is not eligible</w:t>
      </w:r>
      <w:r w:rsidR="00A32B98" w:rsidRPr="0007609F">
        <w:rPr>
          <w:rFonts w:eastAsia="Calibri"/>
          <w:sz w:val="24"/>
          <w:szCs w:val="24"/>
        </w:rPr>
        <w:t xml:space="preserve"> to participate on a </w:t>
      </w:r>
      <w:r w:rsidR="007B2F88">
        <w:rPr>
          <w:rFonts w:eastAsia="Calibri"/>
          <w:sz w:val="24"/>
          <w:szCs w:val="24"/>
        </w:rPr>
        <w:t>LEA</w:t>
      </w:r>
      <w:r w:rsidR="00DD05B8">
        <w:rPr>
          <w:rFonts w:eastAsia="Calibri"/>
          <w:sz w:val="24"/>
          <w:szCs w:val="24"/>
        </w:rPr>
        <w:t xml:space="preserve">-wide basis. </w:t>
      </w:r>
      <w:r w:rsidR="00452144">
        <w:rPr>
          <w:rFonts w:eastAsia="Calibri"/>
          <w:sz w:val="24"/>
          <w:szCs w:val="24"/>
        </w:rPr>
        <w:t>The LEA could have i</w:t>
      </w:r>
      <w:r w:rsidR="00A32B98" w:rsidRPr="0007609F">
        <w:rPr>
          <w:rFonts w:eastAsia="Calibri"/>
          <w:sz w:val="24"/>
          <w:szCs w:val="24"/>
        </w:rPr>
        <w:t xml:space="preserve">ndividual schools or groups of schools </w:t>
      </w:r>
      <w:r w:rsidR="00987E17" w:rsidRPr="0007609F">
        <w:rPr>
          <w:rFonts w:eastAsia="Calibri"/>
          <w:sz w:val="24"/>
          <w:szCs w:val="24"/>
        </w:rPr>
        <w:t xml:space="preserve">within the LEA </w:t>
      </w:r>
      <w:r w:rsidR="00A32B98" w:rsidRPr="0007609F">
        <w:rPr>
          <w:rFonts w:eastAsia="Calibri"/>
          <w:sz w:val="24"/>
          <w:szCs w:val="24"/>
        </w:rPr>
        <w:t>participate</w:t>
      </w:r>
      <w:r w:rsidRPr="0007609F">
        <w:rPr>
          <w:rFonts w:eastAsia="Calibri"/>
          <w:sz w:val="24"/>
          <w:szCs w:val="24"/>
        </w:rPr>
        <w:t xml:space="preserve">. </w:t>
      </w:r>
      <w:r w:rsidR="00F75024">
        <w:rPr>
          <w:rFonts w:eastAsia="Calibri"/>
          <w:sz w:val="24"/>
          <w:szCs w:val="24"/>
        </w:rPr>
        <w:t xml:space="preserve"> This would normally be considered a new group so new identified student percentages would need to be established. </w:t>
      </w:r>
    </w:p>
    <w:p w:rsidR="001E4B15" w:rsidRDefault="009137BE" w:rsidP="001E4B15">
      <w:pPr>
        <w:spacing w:after="200" w:line="276" w:lineRule="auto"/>
        <w:ind w:left="360"/>
        <w:rPr>
          <w:rFonts w:eastAsia="Calibri"/>
          <w:sz w:val="24"/>
          <w:szCs w:val="24"/>
        </w:rPr>
      </w:pPr>
      <w:r>
        <w:rPr>
          <w:rFonts w:eastAsia="Calibri"/>
          <w:sz w:val="24"/>
          <w:szCs w:val="24"/>
        </w:rPr>
        <w:br w:type="page"/>
      </w:r>
      <w:r w:rsidR="00F75024">
        <w:rPr>
          <w:rFonts w:eastAsia="Calibri"/>
          <w:sz w:val="24"/>
          <w:szCs w:val="24"/>
        </w:rPr>
        <w:lastRenderedPageBreak/>
        <w:t xml:space="preserve"> </w:t>
      </w:r>
    </w:p>
    <w:p w:rsidR="00F67681" w:rsidRPr="00534573" w:rsidRDefault="00F67681" w:rsidP="00F67681">
      <w:pPr>
        <w:numPr>
          <w:ilvl w:val="0"/>
          <w:numId w:val="27"/>
        </w:numPr>
        <w:contextualSpacing/>
        <w:rPr>
          <w:rFonts w:eastAsia="Calibri"/>
          <w:sz w:val="24"/>
          <w:szCs w:val="24"/>
        </w:rPr>
      </w:pPr>
      <w:r w:rsidRPr="00534573">
        <w:rPr>
          <w:rFonts w:eastAsia="Calibri"/>
          <w:b/>
          <w:sz w:val="24"/>
          <w:szCs w:val="24"/>
        </w:rPr>
        <w:t>When is a</w:t>
      </w:r>
      <w:r w:rsidR="00FB7E14">
        <w:rPr>
          <w:rFonts w:eastAsia="Calibri"/>
          <w:b/>
          <w:sz w:val="24"/>
          <w:szCs w:val="24"/>
        </w:rPr>
        <w:t>n LEA</w:t>
      </w:r>
      <w:r w:rsidRPr="00534573">
        <w:rPr>
          <w:rFonts w:eastAsia="Calibri"/>
          <w:b/>
          <w:sz w:val="24"/>
          <w:szCs w:val="24"/>
        </w:rPr>
        <w:t xml:space="preserve"> permitted to </w:t>
      </w:r>
      <w:r w:rsidR="00FB7E14">
        <w:rPr>
          <w:rFonts w:eastAsia="Calibri"/>
          <w:b/>
          <w:sz w:val="24"/>
          <w:szCs w:val="24"/>
        </w:rPr>
        <w:t>drop</w:t>
      </w:r>
      <w:r w:rsidRPr="00534573">
        <w:rPr>
          <w:rFonts w:eastAsia="Calibri"/>
          <w:b/>
          <w:sz w:val="24"/>
          <w:szCs w:val="24"/>
        </w:rPr>
        <w:t xml:space="preserve"> CEP?</w:t>
      </w:r>
    </w:p>
    <w:p w:rsidR="00F67681" w:rsidRPr="00534573" w:rsidRDefault="00FB7E14" w:rsidP="00F67681">
      <w:pPr>
        <w:spacing w:line="276" w:lineRule="auto"/>
        <w:ind w:left="360"/>
        <w:rPr>
          <w:rFonts w:eastAsia="Calibri"/>
          <w:sz w:val="24"/>
          <w:szCs w:val="24"/>
        </w:rPr>
      </w:pPr>
      <w:r>
        <w:rPr>
          <w:rFonts w:eastAsia="Calibri"/>
          <w:sz w:val="24"/>
          <w:szCs w:val="24"/>
        </w:rPr>
        <w:t>An LEA</w:t>
      </w:r>
      <w:r w:rsidR="00F67681" w:rsidRPr="00534573">
        <w:rPr>
          <w:rFonts w:eastAsia="Calibri"/>
          <w:sz w:val="24"/>
          <w:szCs w:val="24"/>
        </w:rPr>
        <w:t xml:space="preserve"> may decide not to elect the CEP or to stop utilizing the CEP at any time as long as the State is notified by June 30</w:t>
      </w:r>
      <w:r w:rsidR="00F67681" w:rsidRPr="00534573">
        <w:rPr>
          <w:rFonts w:eastAsia="Calibri"/>
          <w:sz w:val="24"/>
          <w:szCs w:val="24"/>
          <w:vertAlign w:val="superscript"/>
        </w:rPr>
        <w:t>th</w:t>
      </w:r>
      <w:r w:rsidR="007344DA">
        <w:rPr>
          <w:rFonts w:eastAsia="Calibri"/>
          <w:sz w:val="24"/>
          <w:szCs w:val="24"/>
        </w:rPr>
        <w:t xml:space="preserve"> of the current school year.  </w:t>
      </w:r>
      <w:r w:rsidR="00F67681" w:rsidRPr="00534573">
        <w:rPr>
          <w:rFonts w:eastAsia="Calibri"/>
          <w:sz w:val="24"/>
          <w:szCs w:val="24"/>
        </w:rPr>
        <w:t>Since the new percentage of identified students must be established before April 1</w:t>
      </w:r>
      <w:r w:rsidR="00F67681" w:rsidRPr="00534573">
        <w:rPr>
          <w:rFonts w:eastAsia="Calibri"/>
          <w:sz w:val="24"/>
          <w:szCs w:val="24"/>
          <w:vertAlign w:val="superscript"/>
        </w:rPr>
        <w:t>st</w:t>
      </w:r>
      <w:r w:rsidR="00F67681" w:rsidRPr="00534573">
        <w:rPr>
          <w:rFonts w:eastAsia="Calibri"/>
          <w:sz w:val="24"/>
          <w:szCs w:val="24"/>
        </w:rPr>
        <w:t xml:space="preserve"> of the prior year, </w:t>
      </w:r>
      <w:r>
        <w:rPr>
          <w:rFonts w:eastAsia="Calibri"/>
          <w:sz w:val="24"/>
          <w:szCs w:val="24"/>
        </w:rPr>
        <w:t>LEA</w:t>
      </w:r>
      <w:r w:rsidR="00F67681" w:rsidRPr="00534573">
        <w:rPr>
          <w:rFonts w:eastAsia="Calibri"/>
          <w:sz w:val="24"/>
          <w:szCs w:val="24"/>
        </w:rPr>
        <w:t xml:space="preserve">s will have time to decide if continuing the CEP will be advantageous for the next year.  </w:t>
      </w:r>
      <w:r>
        <w:rPr>
          <w:rFonts w:eastAsia="Calibri"/>
          <w:sz w:val="24"/>
          <w:szCs w:val="24"/>
        </w:rPr>
        <w:t>LEA</w:t>
      </w:r>
      <w:r w:rsidR="00F67681" w:rsidRPr="00534573">
        <w:rPr>
          <w:rFonts w:eastAsia="Calibri"/>
          <w:sz w:val="24"/>
          <w:szCs w:val="24"/>
        </w:rPr>
        <w:t>s electing to stop the CEP must be prepared to return to their normal application and counting and claiming procedures</w:t>
      </w:r>
      <w:r w:rsidR="007501F6">
        <w:rPr>
          <w:rFonts w:eastAsia="Calibri"/>
          <w:sz w:val="24"/>
          <w:szCs w:val="24"/>
        </w:rPr>
        <w:t>.</w:t>
      </w:r>
      <w:r w:rsidR="00F67681" w:rsidRPr="00534573">
        <w:rPr>
          <w:rFonts w:eastAsia="Calibri"/>
          <w:sz w:val="24"/>
          <w:szCs w:val="24"/>
        </w:rPr>
        <w:t xml:space="preserve"> </w:t>
      </w:r>
    </w:p>
    <w:p w:rsidR="0034015C" w:rsidRDefault="0034015C" w:rsidP="0034015C">
      <w:pPr>
        <w:spacing w:after="200" w:line="276" w:lineRule="auto"/>
        <w:ind w:left="360"/>
        <w:contextualSpacing/>
        <w:rPr>
          <w:rFonts w:eastAsia="Calibri"/>
          <w:b/>
          <w:sz w:val="24"/>
          <w:szCs w:val="24"/>
        </w:rPr>
      </w:pPr>
    </w:p>
    <w:p w:rsidR="001E4B15" w:rsidRPr="0007609F" w:rsidRDefault="001E4B15" w:rsidP="001E4B15">
      <w:pPr>
        <w:numPr>
          <w:ilvl w:val="0"/>
          <w:numId w:val="27"/>
        </w:numPr>
        <w:spacing w:after="200" w:line="276" w:lineRule="auto"/>
        <w:contextualSpacing/>
        <w:rPr>
          <w:rFonts w:eastAsia="Calibri"/>
          <w:b/>
          <w:sz w:val="24"/>
          <w:szCs w:val="24"/>
        </w:rPr>
      </w:pPr>
      <w:r w:rsidRPr="0007609F">
        <w:rPr>
          <w:rFonts w:eastAsia="Calibri"/>
          <w:b/>
          <w:sz w:val="24"/>
          <w:szCs w:val="24"/>
        </w:rPr>
        <w:t xml:space="preserve">Can schools be randomly grouped together to become eligible for the </w:t>
      </w:r>
      <w:r w:rsidR="00A03DE9" w:rsidRPr="0007609F">
        <w:rPr>
          <w:rFonts w:eastAsia="Calibri"/>
          <w:b/>
          <w:sz w:val="24"/>
          <w:szCs w:val="24"/>
        </w:rPr>
        <w:t>CEP</w:t>
      </w:r>
      <w:r w:rsidRPr="0007609F">
        <w:rPr>
          <w:rFonts w:eastAsia="Calibri"/>
          <w:b/>
          <w:sz w:val="24"/>
          <w:szCs w:val="24"/>
        </w:rPr>
        <w:t>?</w:t>
      </w:r>
    </w:p>
    <w:p w:rsidR="001E4B15" w:rsidRPr="0007609F" w:rsidRDefault="001E4B15" w:rsidP="001E4B15">
      <w:pPr>
        <w:spacing w:after="200" w:line="276" w:lineRule="auto"/>
        <w:ind w:left="360"/>
        <w:rPr>
          <w:rFonts w:eastAsia="Calibri"/>
          <w:sz w:val="24"/>
          <w:szCs w:val="24"/>
        </w:rPr>
      </w:pPr>
      <w:r w:rsidRPr="0007609F">
        <w:rPr>
          <w:rFonts w:eastAsia="Calibri"/>
          <w:sz w:val="24"/>
          <w:szCs w:val="24"/>
        </w:rPr>
        <w:t xml:space="preserve">Yes, as long as the schools are in the same </w:t>
      </w:r>
      <w:r w:rsidR="006652F1" w:rsidRPr="0007609F">
        <w:rPr>
          <w:rFonts w:eastAsia="Calibri"/>
          <w:sz w:val="24"/>
          <w:szCs w:val="24"/>
        </w:rPr>
        <w:t>LEA</w:t>
      </w:r>
      <w:r w:rsidRPr="0007609F">
        <w:rPr>
          <w:rFonts w:eastAsia="Calibri"/>
          <w:sz w:val="24"/>
          <w:szCs w:val="24"/>
        </w:rPr>
        <w:t xml:space="preserve">. </w:t>
      </w:r>
    </w:p>
    <w:p w:rsidR="00FA7467" w:rsidRPr="0007609F" w:rsidRDefault="00FA7467" w:rsidP="00FA7467">
      <w:pPr>
        <w:numPr>
          <w:ilvl w:val="0"/>
          <w:numId w:val="27"/>
        </w:numPr>
        <w:spacing w:after="200" w:line="276" w:lineRule="auto"/>
        <w:contextualSpacing/>
        <w:rPr>
          <w:rFonts w:eastAsia="Calibri"/>
          <w:b/>
          <w:sz w:val="24"/>
          <w:szCs w:val="24"/>
        </w:rPr>
      </w:pPr>
      <w:r w:rsidRPr="0007609F">
        <w:rPr>
          <w:rFonts w:eastAsia="Calibri"/>
          <w:b/>
          <w:sz w:val="24"/>
          <w:szCs w:val="24"/>
        </w:rPr>
        <w:t xml:space="preserve">Are LEAs with schools currently operating Provision 2/3 in a NON BASE year permitted to elect the </w:t>
      </w:r>
      <w:r w:rsidR="00A03DE9" w:rsidRPr="0007609F">
        <w:rPr>
          <w:rFonts w:eastAsia="Calibri"/>
          <w:b/>
          <w:sz w:val="24"/>
          <w:szCs w:val="24"/>
        </w:rPr>
        <w:t>CEP</w:t>
      </w:r>
      <w:r w:rsidRPr="0007609F">
        <w:rPr>
          <w:rFonts w:eastAsia="Calibri"/>
          <w:b/>
          <w:sz w:val="24"/>
          <w:szCs w:val="24"/>
        </w:rPr>
        <w:t>?</w:t>
      </w:r>
    </w:p>
    <w:p w:rsidR="00FA7467" w:rsidRPr="0007609F" w:rsidRDefault="00FA7467" w:rsidP="00FA7467">
      <w:pPr>
        <w:ind w:left="360"/>
        <w:rPr>
          <w:iCs/>
          <w:sz w:val="24"/>
          <w:szCs w:val="24"/>
        </w:rPr>
      </w:pPr>
      <w:r w:rsidRPr="0007609F">
        <w:rPr>
          <w:iCs/>
          <w:sz w:val="24"/>
          <w:szCs w:val="24"/>
        </w:rPr>
        <w:t xml:space="preserve">Provision 2 and Provision 3 schools would be required to </w:t>
      </w:r>
      <w:r w:rsidR="004513E8">
        <w:rPr>
          <w:iCs/>
          <w:sz w:val="24"/>
          <w:szCs w:val="24"/>
        </w:rPr>
        <w:t>obtain</w:t>
      </w:r>
      <w:r w:rsidR="004513E8" w:rsidRPr="0007609F">
        <w:rPr>
          <w:i/>
          <w:iCs/>
          <w:sz w:val="24"/>
          <w:szCs w:val="24"/>
        </w:rPr>
        <w:t xml:space="preserve"> </w:t>
      </w:r>
      <w:r w:rsidR="002F74F4" w:rsidRPr="0007609F">
        <w:rPr>
          <w:rFonts w:eastAsia="Calibri"/>
          <w:sz w:val="24"/>
          <w:szCs w:val="24"/>
        </w:rPr>
        <w:t xml:space="preserve">identified student </w:t>
      </w:r>
      <w:r w:rsidRPr="0007609F">
        <w:rPr>
          <w:iCs/>
          <w:sz w:val="24"/>
          <w:szCs w:val="24"/>
        </w:rPr>
        <w:t>percentages</w:t>
      </w:r>
      <w:r w:rsidR="004513E8">
        <w:rPr>
          <w:iCs/>
          <w:sz w:val="24"/>
          <w:szCs w:val="24"/>
        </w:rPr>
        <w:t xml:space="preserve"> reflective of April 1</w:t>
      </w:r>
      <w:r w:rsidR="004513E8" w:rsidRPr="009C37C0">
        <w:rPr>
          <w:iCs/>
          <w:sz w:val="24"/>
          <w:szCs w:val="24"/>
          <w:vertAlign w:val="superscript"/>
        </w:rPr>
        <w:t>st</w:t>
      </w:r>
      <w:r w:rsidR="004513E8">
        <w:rPr>
          <w:iCs/>
          <w:sz w:val="24"/>
          <w:szCs w:val="24"/>
        </w:rPr>
        <w:t xml:space="preserve"> of the prior school year to participat</w:t>
      </w:r>
      <w:r w:rsidR="0019027C">
        <w:rPr>
          <w:iCs/>
          <w:sz w:val="24"/>
          <w:szCs w:val="24"/>
        </w:rPr>
        <w:t>e</w:t>
      </w:r>
      <w:r w:rsidR="004513E8">
        <w:rPr>
          <w:iCs/>
          <w:sz w:val="24"/>
          <w:szCs w:val="24"/>
        </w:rPr>
        <w:t xml:space="preserve"> in CEP</w:t>
      </w:r>
      <w:r w:rsidRPr="0007609F">
        <w:rPr>
          <w:iCs/>
          <w:sz w:val="24"/>
          <w:szCs w:val="24"/>
        </w:rPr>
        <w:t>.</w:t>
      </w:r>
      <w:r w:rsidR="00B46B0C" w:rsidRPr="0007609F">
        <w:rPr>
          <w:iCs/>
          <w:sz w:val="24"/>
          <w:szCs w:val="24"/>
        </w:rPr>
        <w:t xml:space="preserve">  If </w:t>
      </w:r>
      <w:r w:rsidR="00E10BC7">
        <w:rPr>
          <w:iCs/>
          <w:sz w:val="24"/>
          <w:szCs w:val="24"/>
        </w:rPr>
        <w:t>the LEA determines that the</w:t>
      </w:r>
      <w:r w:rsidR="00B46B0C" w:rsidRPr="0007609F">
        <w:rPr>
          <w:iCs/>
          <w:sz w:val="24"/>
          <w:szCs w:val="24"/>
        </w:rPr>
        <w:t xml:space="preserve"> identified student percentage meets eligibility requirements</w:t>
      </w:r>
      <w:r w:rsidR="00E10BC7">
        <w:rPr>
          <w:iCs/>
          <w:sz w:val="24"/>
          <w:szCs w:val="24"/>
        </w:rPr>
        <w:t xml:space="preserve"> for</w:t>
      </w:r>
      <w:r w:rsidR="00E10BC7" w:rsidRPr="00E10BC7">
        <w:rPr>
          <w:iCs/>
          <w:sz w:val="24"/>
          <w:szCs w:val="24"/>
        </w:rPr>
        <w:t xml:space="preserve"> </w:t>
      </w:r>
      <w:r w:rsidR="00E10BC7" w:rsidRPr="0007609F">
        <w:rPr>
          <w:iCs/>
          <w:sz w:val="24"/>
          <w:szCs w:val="24"/>
        </w:rPr>
        <w:t>these schools</w:t>
      </w:r>
      <w:r w:rsidR="00B46B0C" w:rsidRPr="0007609F">
        <w:rPr>
          <w:iCs/>
          <w:sz w:val="24"/>
          <w:szCs w:val="24"/>
        </w:rPr>
        <w:t xml:space="preserve">, they may participate.  </w:t>
      </w:r>
    </w:p>
    <w:p w:rsidR="002A3B66" w:rsidRPr="0007609F" w:rsidRDefault="002A3B66" w:rsidP="00FA7467">
      <w:pPr>
        <w:ind w:left="360"/>
        <w:rPr>
          <w:iCs/>
          <w:sz w:val="24"/>
          <w:szCs w:val="24"/>
        </w:rPr>
      </w:pPr>
    </w:p>
    <w:p w:rsidR="002A3B66" w:rsidRPr="0007609F" w:rsidRDefault="00E10BC7" w:rsidP="00A33F3A">
      <w:pPr>
        <w:numPr>
          <w:ilvl w:val="0"/>
          <w:numId w:val="27"/>
        </w:numPr>
        <w:rPr>
          <w:b/>
          <w:bCs/>
          <w:sz w:val="24"/>
          <w:szCs w:val="24"/>
        </w:rPr>
      </w:pPr>
      <w:r w:rsidRPr="0007609F">
        <w:rPr>
          <w:b/>
          <w:bCs/>
          <w:sz w:val="24"/>
          <w:szCs w:val="24"/>
        </w:rPr>
        <w:t>Are schools/LEAs participating in the CEP allowe</w:t>
      </w:r>
      <w:r w:rsidRPr="006C2843">
        <w:rPr>
          <w:b/>
          <w:bCs/>
          <w:sz w:val="24"/>
          <w:szCs w:val="24"/>
        </w:rPr>
        <w:t>d to participate in the</w:t>
      </w:r>
      <w:r w:rsidR="00A33F3A" w:rsidRPr="009C37C0">
        <w:rPr>
          <w:b/>
        </w:rPr>
        <w:t xml:space="preserve"> </w:t>
      </w:r>
      <w:r w:rsidR="00A33F3A" w:rsidRPr="009C37C0">
        <w:rPr>
          <w:b/>
          <w:sz w:val="23"/>
          <w:szCs w:val="23"/>
        </w:rPr>
        <w:t>Demonstration Project to Evaluate Direct Certification with Medicaid</w:t>
      </w:r>
      <w:r w:rsidR="002A3B66" w:rsidRPr="006C2843">
        <w:rPr>
          <w:b/>
          <w:bCs/>
          <w:sz w:val="24"/>
          <w:szCs w:val="24"/>
        </w:rPr>
        <w:t>?</w:t>
      </w:r>
    </w:p>
    <w:p w:rsidR="002A3B66" w:rsidRPr="00534573" w:rsidRDefault="002A3B66" w:rsidP="00C33DC3">
      <w:pPr>
        <w:ind w:left="360"/>
        <w:rPr>
          <w:sz w:val="24"/>
          <w:szCs w:val="24"/>
        </w:rPr>
      </w:pPr>
      <w:r w:rsidRPr="00534573">
        <w:rPr>
          <w:sz w:val="24"/>
          <w:szCs w:val="24"/>
        </w:rPr>
        <w:t xml:space="preserve">Yes, </w:t>
      </w:r>
      <w:r w:rsidR="00D60FD2" w:rsidRPr="00534573">
        <w:rPr>
          <w:sz w:val="24"/>
          <w:szCs w:val="24"/>
        </w:rPr>
        <w:t>schools</w:t>
      </w:r>
      <w:r w:rsidRPr="00534573">
        <w:rPr>
          <w:sz w:val="24"/>
          <w:szCs w:val="24"/>
        </w:rPr>
        <w:t>/</w:t>
      </w:r>
      <w:r w:rsidR="00082273">
        <w:rPr>
          <w:sz w:val="24"/>
          <w:szCs w:val="24"/>
        </w:rPr>
        <w:t>LEA</w:t>
      </w:r>
      <w:r w:rsidR="00082273" w:rsidRPr="00534573">
        <w:rPr>
          <w:sz w:val="24"/>
          <w:szCs w:val="24"/>
        </w:rPr>
        <w:t xml:space="preserve">s </w:t>
      </w:r>
      <w:r w:rsidRPr="00534573">
        <w:rPr>
          <w:sz w:val="24"/>
          <w:szCs w:val="24"/>
        </w:rPr>
        <w:t xml:space="preserve">participating in the CEP can participate in the </w:t>
      </w:r>
      <w:r w:rsidR="00C33DC3" w:rsidRPr="00C33DC3">
        <w:rPr>
          <w:sz w:val="24"/>
          <w:szCs w:val="24"/>
        </w:rPr>
        <w:t>Demonstration P</w:t>
      </w:r>
      <w:r w:rsidR="00C33DC3">
        <w:rPr>
          <w:sz w:val="24"/>
          <w:szCs w:val="24"/>
        </w:rPr>
        <w:t>roject</w:t>
      </w:r>
      <w:r w:rsidR="00C33DC3" w:rsidRPr="00C33DC3">
        <w:rPr>
          <w:sz w:val="24"/>
          <w:szCs w:val="24"/>
        </w:rPr>
        <w:t xml:space="preserve"> to Evaluate Direct Certification with Medicaid</w:t>
      </w:r>
      <w:r w:rsidR="007344DA">
        <w:rPr>
          <w:sz w:val="24"/>
          <w:szCs w:val="24"/>
        </w:rPr>
        <w:t>.  T</w:t>
      </w:r>
      <w:r w:rsidRPr="00534573">
        <w:rPr>
          <w:sz w:val="24"/>
          <w:szCs w:val="24"/>
        </w:rPr>
        <w:t xml:space="preserve">he students identified through Medicaid with an income meeting the 133% threshold in the definition of identified students would be </w:t>
      </w:r>
      <w:r w:rsidR="00E36AC6" w:rsidRPr="00534573">
        <w:rPr>
          <w:sz w:val="24"/>
          <w:szCs w:val="24"/>
        </w:rPr>
        <w:t xml:space="preserve">considered </w:t>
      </w:r>
      <w:r w:rsidRPr="00534573">
        <w:rPr>
          <w:sz w:val="24"/>
          <w:szCs w:val="24"/>
        </w:rPr>
        <w:t xml:space="preserve">part of the identified student percentage.  </w:t>
      </w:r>
    </w:p>
    <w:p w:rsidR="00534573" w:rsidRDefault="00534573" w:rsidP="002A3B66">
      <w:pPr>
        <w:ind w:left="360"/>
        <w:rPr>
          <w:rFonts w:eastAsia="Calibri"/>
          <w:sz w:val="24"/>
          <w:szCs w:val="24"/>
        </w:rPr>
      </w:pPr>
    </w:p>
    <w:p w:rsidR="00835F2F" w:rsidRPr="00534573" w:rsidRDefault="00835F2F" w:rsidP="00835F2F">
      <w:pPr>
        <w:pBdr>
          <w:top w:val="single" w:sz="4" w:space="1" w:color="auto"/>
          <w:left w:val="single" w:sz="4" w:space="4" w:color="auto"/>
          <w:bottom w:val="single" w:sz="4" w:space="1" w:color="auto"/>
          <w:right w:val="single" w:sz="4" w:space="4" w:color="auto"/>
        </w:pBdr>
        <w:jc w:val="center"/>
        <w:rPr>
          <w:rFonts w:eastAsia="Calibri"/>
          <w:b/>
          <w:sz w:val="24"/>
          <w:szCs w:val="24"/>
        </w:rPr>
      </w:pPr>
      <w:r w:rsidRPr="00534573">
        <w:rPr>
          <w:rFonts w:eastAsia="Calibri"/>
          <w:b/>
          <w:sz w:val="24"/>
          <w:szCs w:val="24"/>
        </w:rPr>
        <w:t>Identified Student Percentage Determination</w:t>
      </w:r>
    </w:p>
    <w:p w:rsidR="00835F2F" w:rsidRPr="00534573" w:rsidRDefault="00835F2F" w:rsidP="00835F2F">
      <w:pPr>
        <w:jc w:val="center"/>
        <w:rPr>
          <w:rFonts w:eastAsia="Calibri"/>
          <w:b/>
          <w:sz w:val="24"/>
          <w:szCs w:val="24"/>
        </w:rPr>
      </w:pPr>
    </w:p>
    <w:p w:rsidR="00E40EC0" w:rsidRPr="00534573" w:rsidRDefault="00E40EC0" w:rsidP="00835F2F">
      <w:pPr>
        <w:numPr>
          <w:ilvl w:val="0"/>
          <w:numId w:val="27"/>
        </w:numPr>
        <w:contextualSpacing/>
        <w:rPr>
          <w:rFonts w:eastAsia="Calibri"/>
          <w:b/>
          <w:sz w:val="24"/>
          <w:szCs w:val="24"/>
        </w:rPr>
      </w:pPr>
      <w:r w:rsidRPr="00534573">
        <w:rPr>
          <w:rFonts w:eastAsia="Calibri"/>
          <w:b/>
          <w:sz w:val="24"/>
          <w:szCs w:val="24"/>
        </w:rPr>
        <w:t>Who are the identified students?</w:t>
      </w:r>
    </w:p>
    <w:p w:rsidR="007C30BE" w:rsidRDefault="00E40EC0">
      <w:pPr>
        <w:spacing w:line="276" w:lineRule="auto"/>
        <w:ind w:left="360"/>
        <w:rPr>
          <w:rFonts w:eastAsia="Calibri"/>
          <w:sz w:val="24"/>
          <w:szCs w:val="24"/>
        </w:rPr>
      </w:pPr>
      <w:r w:rsidRPr="00534573">
        <w:rPr>
          <w:rFonts w:eastAsia="Calibri"/>
          <w:sz w:val="24"/>
          <w:szCs w:val="24"/>
        </w:rPr>
        <w:t xml:space="preserve">The identified students are the number </w:t>
      </w:r>
      <w:r w:rsidR="00F05F2C" w:rsidRPr="00534573">
        <w:rPr>
          <w:rFonts w:eastAsia="Calibri"/>
          <w:sz w:val="24"/>
          <w:szCs w:val="24"/>
        </w:rPr>
        <w:t xml:space="preserve">of students </w:t>
      </w:r>
      <w:r w:rsidRPr="00534573">
        <w:rPr>
          <w:rFonts w:eastAsia="Calibri"/>
          <w:sz w:val="24"/>
          <w:szCs w:val="24"/>
        </w:rPr>
        <w:t>approved as eligible</w:t>
      </w:r>
      <w:r w:rsidR="00F05F2C" w:rsidRPr="00534573">
        <w:rPr>
          <w:rFonts w:eastAsia="Calibri"/>
          <w:sz w:val="24"/>
          <w:szCs w:val="24"/>
        </w:rPr>
        <w:t xml:space="preserve"> for free meals</w:t>
      </w:r>
      <w:r w:rsidRPr="00534573">
        <w:rPr>
          <w:rFonts w:eastAsia="Calibri"/>
          <w:sz w:val="24"/>
          <w:szCs w:val="24"/>
        </w:rPr>
        <w:t xml:space="preserve"> </w:t>
      </w:r>
      <w:r w:rsidR="00F05F2C" w:rsidRPr="00534573">
        <w:rPr>
          <w:rFonts w:eastAsia="Calibri"/>
          <w:sz w:val="24"/>
          <w:szCs w:val="24"/>
        </w:rPr>
        <w:t xml:space="preserve">and </w:t>
      </w:r>
      <w:r w:rsidRPr="00534573">
        <w:rPr>
          <w:rFonts w:eastAsia="Calibri"/>
          <w:sz w:val="24"/>
          <w:szCs w:val="24"/>
        </w:rPr>
        <w:t>are not subject to verification</w:t>
      </w:r>
      <w:r w:rsidR="00E60148" w:rsidRPr="00534573">
        <w:rPr>
          <w:rFonts w:eastAsia="Calibri"/>
          <w:sz w:val="24"/>
          <w:szCs w:val="24"/>
        </w:rPr>
        <w:t>.</w:t>
      </w:r>
      <w:r w:rsidR="00456896" w:rsidRPr="00534573">
        <w:rPr>
          <w:rFonts w:eastAsia="Calibri"/>
          <w:sz w:val="24"/>
          <w:szCs w:val="24"/>
        </w:rPr>
        <w:t xml:space="preserve"> </w:t>
      </w:r>
      <w:r w:rsidR="005816D2" w:rsidRPr="00534573">
        <w:rPr>
          <w:rFonts w:eastAsia="Calibri"/>
          <w:sz w:val="24"/>
          <w:szCs w:val="24"/>
        </w:rPr>
        <w:t xml:space="preserve">This definition includes students directly certified through SNAP, </w:t>
      </w:r>
      <w:r w:rsidR="00891B22" w:rsidRPr="00534573">
        <w:rPr>
          <w:rFonts w:eastAsia="Calibri"/>
          <w:sz w:val="24"/>
          <w:szCs w:val="24"/>
        </w:rPr>
        <w:t>TANF</w:t>
      </w:r>
      <w:r w:rsidR="005816D2" w:rsidRPr="00534573">
        <w:rPr>
          <w:rFonts w:eastAsia="Calibri"/>
          <w:sz w:val="24"/>
          <w:szCs w:val="24"/>
        </w:rPr>
        <w:t xml:space="preserve">, and </w:t>
      </w:r>
      <w:r w:rsidR="00891B22" w:rsidRPr="00534573">
        <w:rPr>
          <w:rFonts w:eastAsia="Calibri"/>
          <w:sz w:val="24"/>
          <w:szCs w:val="24"/>
        </w:rPr>
        <w:t xml:space="preserve">FDPIR </w:t>
      </w:r>
      <w:r w:rsidR="005816D2" w:rsidRPr="00534573">
        <w:rPr>
          <w:rFonts w:eastAsia="Calibri"/>
          <w:sz w:val="24"/>
          <w:szCs w:val="24"/>
        </w:rPr>
        <w:t>pa</w:t>
      </w:r>
      <w:r w:rsidR="00B46B0C" w:rsidRPr="00534573">
        <w:rPr>
          <w:rFonts w:eastAsia="Calibri"/>
          <w:sz w:val="24"/>
          <w:szCs w:val="24"/>
        </w:rPr>
        <w:t xml:space="preserve">rticipation as well as homeless students </w:t>
      </w:r>
      <w:r w:rsidR="005816D2" w:rsidRPr="00534573">
        <w:rPr>
          <w:rFonts w:eastAsia="Calibri"/>
          <w:sz w:val="24"/>
          <w:szCs w:val="24"/>
        </w:rPr>
        <w:t>on the liaison list, Head Start, pre-K Even Start, migrant youth, runaways, and non-applicants approved by local officials</w:t>
      </w:r>
      <w:r w:rsidR="00534573">
        <w:rPr>
          <w:rFonts w:eastAsia="Calibri"/>
          <w:sz w:val="24"/>
          <w:szCs w:val="24"/>
        </w:rPr>
        <w:t xml:space="preserve"> identified through means other than an application</w:t>
      </w:r>
      <w:r w:rsidR="005816D2" w:rsidRPr="00534573">
        <w:rPr>
          <w:rFonts w:eastAsia="Calibri"/>
          <w:sz w:val="24"/>
          <w:szCs w:val="24"/>
        </w:rPr>
        <w:t>.  Foster children certified through means other than an application are also included</w:t>
      </w:r>
      <w:r w:rsidR="00E60148" w:rsidRPr="00534573">
        <w:rPr>
          <w:rFonts w:eastAsia="Calibri"/>
          <w:sz w:val="24"/>
          <w:szCs w:val="24"/>
        </w:rPr>
        <w:t xml:space="preserve"> as well as students</w:t>
      </w:r>
      <w:r w:rsidRPr="00534573">
        <w:rPr>
          <w:rFonts w:eastAsia="Calibri"/>
          <w:sz w:val="24"/>
          <w:szCs w:val="24"/>
        </w:rPr>
        <w:t xml:space="preserve"> certified for free meals based on a letter provided by th</w:t>
      </w:r>
      <w:r w:rsidR="00E60148" w:rsidRPr="00534573">
        <w:rPr>
          <w:rFonts w:eastAsia="Calibri"/>
          <w:sz w:val="24"/>
          <w:szCs w:val="24"/>
        </w:rPr>
        <w:t>e household from the SNAP agency</w:t>
      </w:r>
      <w:r w:rsidRPr="00534573">
        <w:rPr>
          <w:rFonts w:eastAsia="Calibri"/>
          <w:sz w:val="24"/>
          <w:szCs w:val="24"/>
        </w:rPr>
        <w:t>.</w:t>
      </w:r>
      <w:r w:rsidR="004F4831">
        <w:rPr>
          <w:rFonts w:eastAsia="Calibri"/>
          <w:sz w:val="24"/>
          <w:szCs w:val="24"/>
        </w:rPr>
        <w:t xml:space="preserve"> </w:t>
      </w:r>
      <w:r w:rsidRPr="00534573">
        <w:rPr>
          <w:rFonts w:eastAsia="Calibri"/>
          <w:sz w:val="24"/>
          <w:szCs w:val="24"/>
        </w:rPr>
        <w:t>Students who are categorically eligible based on</w:t>
      </w:r>
      <w:r w:rsidR="00534573">
        <w:rPr>
          <w:rFonts w:eastAsia="Calibri"/>
          <w:sz w:val="24"/>
          <w:szCs w:val="24"/>
        </w:rPr>
        <w:t xml:space="preserve"> information, such as</w:t>
      </w:r>
      <w:r w:rsidRPr="00534573">
        <w:rPr>
          <w:rFonts w:eastAsia="Calibri"/>
          <w:sz w:val="24"/>
          <w:szCs w:val="24"/>
        </w:rPr>
        <w:t xml:space="preserve"> a case number</w:t>
      </w:r>
      <w:r w:rsidR="00534573">
        <w:rPr>
          <w:rFonts w:eastAsia="Calibri"/>
          <w:sz w:val="24"/>
          <w:szCs w:val="24"/>
        </w:rPr>
        <w:t>,</w:t>
      </w:r>
      <w:r w:rsidRPr="00534573">
        <w:rPr>
          <w:rFonts w:eastAsia="Calibri"/>
          <w:sz w:val="24"/>
          <w:szCs w:val="24"/>
        </w:rPr>
        <w:t xml:space="preserve"> submitted through a free and reduced price application are </w:t>
      </w:r>
      <w:r w:rsidR="00E55966" w:rsidRPr="00534573">
        <w:rPr>
          <w:rFonts w:eastAsia="Calibri"/>
          <w:sz w:val="24"/>
          <w:szCs w:val="24"/>
        </w:rPr>
        <w:t>NOT</w:t>
      </w:r>
      <w:r w:rsidRPr="00534573">
        <w:rPr>
          <w:rFonts w:eastAsia="Calibri"/>
          <w:sz w:val="24"/>
          <w:szCs w:val="24"/>
        </w:rPr>
        <w:t xml:space="preserve"> included.</w:t>
      </w:r>
    </w:p>
    <w:p w:rsidR="00E40EC0" w:rsidRPr="00534573" w:rsidRDefault="007C30BE" w:rsidP="007C30BE">
      <w:pPr>
        <w:spacing w:line="276" w:lineRule="auto"/>
        <w:ind w:left="360"/>
        <w:rPr>
          <w:rFonts w:eastAsia="Calibri"/>
          <w:sz w:val="24"/>
          <w:szCs w:val="24"/>
        </w:rPr>
      </w:pPr>
      <w:r>
        <w:rPr>
          <w:rFonts w:eastAsia="Calibri"/>
          <w:sz w:val="24"/>
          <w:szCs w:val="24"/>
        </w:rPr>
        <w:br w:type="page"/>
      </w:r>
    </w:p>
    <w:p w:rsidR="00835F2F" w:rsidRPr="00534573" w:rsidRDefault="00456896" w:rsidP="00835F2F">
      <w:pPr>
        <w:numPr>
          <w:ilvl w:val="0"/>
          <w:numId w:val="27"/>
        </w:numPr>
        <w:contextualSpacing/>
        <w:rPr>
          <w:rFonts w:eastAsia="Calibri"/>
          <w:sz w:val="24"/>
          <w:szCs w:val="24"/>
        </w:rPr>
      </w:pPr>
      <w:r w:rsidRPr="00534573">
        <w:rPr>
          <w:rFonts w:eastAsia="Calibri"/>
          <w:b/>
          <w:sz w:val="24"/>
          <w:szCs w:val="24"/>
        </w:rPr>
        <w:lastRenderedPageBreak/>
        <w:t xml:space="preserve"> What number should be used as the total enrollment for determining the percentage of identified students?</w:t>
      </w:r>
    </w:p>
    <w:p w:rsidR="006A1096" w:rsidRPr="00534573" w:rsidRDefault="00F05F2C" w:rsidP="00EB0909">
      <w:pPr>
        <w:spacing w:line="276" w:lineRule="auto"/>
        <w:ind w:left="360"/>
        <w:rPr>
          <w:rFonts w:eastAsia="Calibri"/>
          <w:sz w:val="24"/>
          <w:szCs w:val="24"/>
        </w:rPr>
      </w:pPr>
      <w:r w:rsidRPr="00534573">
        <w:rPr>
          <w:rFonts w:eastAsia="Calibri"/>
          <w:sz w:val="24"/>
          <w:szCs w:val="24"/>
        </w:rPr>
        <w:t xml:space="preserve">For purposes of calculating the identified student percentage, </w:t>
      </w:r>
      <w:r w:rsidR="00EB0909" w:rsidRPr="00534573">
        <w:rPr>
          <w:rFonts w:eastAsia="Calibri"/>
          <w:i/>
          <w:iCs/>
          <w:sz w:val="24"/>
          <w:szCs w:val="24"/>
        </w:rPr>
        <w:t xml:space="preserve">Enrolled students </w:t>
      </w:r>
      <w:r w:rsidR="00EB0909" w:rsidRPr="00534573">
        <w:rPr>
          <w:rFonts w:eastAsia="Calibri"/>
          <w:sz w:val="24"/>
          <w:szCs w:val="24"/>
        </w:rPr>
        <w:t>means students who are enrolled in and attending schools participating in the community eligibility provision and who have access to at least one meal service (SBP or NSLP) daily. The identified student percentage must be representative of the</w:t>
      </w:r>
      <w:r w:rsidR="00C73FF6">
        <w:rPr>
          <w:rFonts w:eastAsia="Calibri"/>
          <w:sz w:val="24"/>
          <w:szCs w:val="24"/>
        </w:rPr>
        <w:t xml:space="preserve"> number of</w:t>
      </w:r>
      <w:r w:rsidR="00EB0909" w:rsidRPr="00534573">
        <w:rPr>
          <w:rFonts w:eastAsia="Calibri"/>
          <w:sz w:val="24"/>
          <w:szCs w:val="24"/>
        </w:rPr>
        <w:t xml:space="preserve"> identified students and the student enrollment as of April 1</w:t>
      </w:r>
      <w:r w:rsidR="00D43E31" w:rsidRPr="00534573">
        <w:rPr>
          <w:rFonts w:eastAsia="Calibri"/>
          <w:sz w:val="24"/>
          <w:szCs w:val="24"/>
        </w:rPr>
        <w:t>of the prior year.</w:t>
      </w:r>
      <w:r w:rsidR="00456896" w:rsidRPr="00534573">
        <w:rPr>
          <w:rFonts w:eastAsia="Calibri"/>
          <w:sz w:val="24"/>
          <w:szCs w:val="24"/>
        </w:rPr>
        <w:t xml:space="preserve">  Please note that the number of students enrolled should reflect all those students with access to the NS</w:t>
      </w:r>
      <w:r w:rsidRPr="00534573">
        <w:rPr>
          <w:rFonts w:eastAsia="Calibri"/>
          <w:sz w:val="24"/>
          <w:szCs w:val="24"/>
        </w:rPr>
        <w:t>L</w:t>
      </w:r>
      <w:r w:rsidR="00456896" w:rsidRPr="00534573">
        <w:rPr>
          <w:rFonts w:eastAsia="Calibri"/>
          <w:sz w:val="24"/>
          <w:szCs w:val="24"/>
        </w:rPr>
        <w:t xml:space="preserve">P </w:t>
      </w:r>
      <w:r w:rsidR="000D2BF0">
        <w:rPr>
          <w:rFonts w:eastAsia="Calibri"/>
          <w:sz w:val="24"/>
          <w:szCs w:val="24"/>
        </w:rPr>
        <w:t>or</w:t>
      </w:r>
      <w:r w:rsidR="000D2BF0" w:rsidRPr="00534573">
        <w:rPr>
          <w:rFonts w:eastAsia="Calibri"/>
          <w:sz w:val="24"/>
          <w:szCs w:val="24"/>
        </w:rPr>
        <w:t xml:space="preserve"> </w:t>
      </w:r>
      <w:r w:rsidR="00456896" w:rsidRPr="00534573">
        <w:rPr>
          <w:rFonts w:eastAsia="Calibri"/>
          <w:sz w:val="24"/>
          <w:szCs w:val="24"/>
        </w:rPr>
        <w:t xml:space="preserve">SBP and not </w:t>
      </w:r>
      <w:r w:rsidR="00724F1F" w:rsidRPr="00534573">
        <w:rPr>
          <w:rFonts w:eastAsia="Calibri"/>
          <w:sz w:val="24"/>
          <w:szCs w:val="24"/>
        </w:rPr>
        <w:t xml:space="preserve">just </w:t>
      </w:r>
      <w:r w:rsidR="00456896" w:rsidRPr="00534573">
        <w:rPr>
          <w:rFonts w:eastAsia="Calibri"/>
          <w:sz w:val="24"/>
          <w:szCs w:val="24"/>
        </w:rPr>
        <w:t>those students participating in the programs.</w:t>
      </w:r>
      <w:r w:rsidR="00C1567C" w:rsidRPr="00534573">
        <w:rPr>
          <w:rFonts w:eastAsia="Calibri"/>
          <w:sz w:val="24"/>
          <w:szCs w:val="24"/>
        </w:rPr>
        <w:t xml:space="preserve"> </w:t>
      </w:r>
      <w:r w:rsidR="007257A1" w:rsidRPr="00534573">
        <w:rPr>
          <w:rFonts w:eastAsia="Calibri"/>
          <w:sz w:val="24"/>
          <w:szCs w:val="24"/>
        </w:rPr>
        <w:t xml:space="preserve"> </w:t>
      </w:r>
    </w:p>
    <w:p w:rsidR="00E40EC0" w:rsidRPr="00534573" w:rsidRDefault="00E40EC0" w:rsidP="00835F2F">
      <w:pPr>
        <w:rPr>
          <w:rFonts w:eastAsia="Calibri"/>
          <w:sz w:val="24"/>
          <w:szCs w:val="24"/>
        </w:rPr>
      </w:pPr>
    </w:p>
    <w:p w:rsidR="00835F2F" w:rsidRPr="00534573" w:rsidRDefault="00835F2F" w:rsidP="00835F2F">
      <w:pPr>
        <w:numPr>
          <w:ilvl w:val="0"/>
          <w:numId w:val="27"/>
        </w:numPr>
        <w:contextualSpacing/>
        <w:rPr>
          <w:rFonts w:eastAsia="Calibri"/>
          <w:sz w:val="24"/>
          <w:szCs w:val="24"/>
        </w:rPr>
      </w:pPr>
      <w:r w:rsidRPr="00534573">
        <w:rPr>
          <w:rFonts w:eastAsia="Calibri"/>
          <w:b/>
          <w:sz w:val="24"/>
          <w:szCs w:val="24"/>
        </w:rPr>
        <w:t xml:space="preserve"> When does the identified student percentage have to be drawn in relation to April 1</w:t>
      </w:r>
      <w:r w:rsidRPr="00534573">
        <w:rPr>
          <w:rFonts w:eastAsia="Calibri"/>
          <w:b/>
          <w:sz w:val="24"/>
          <w:szCs w:val="24"/>
          <w:vertAlign w:val="superscript"/>
        </w:rPr>
        <w:t>st</w:t>
      </w:r>
      <w:r w:rsidRPr="00534573">
        <w:rPr>
          <w:rFonts w:eastAsia="Calibri"/>
          <w:b/>
          <w:sz w:val="24"/>
          <w:szCs w:val="24"/>
        </w:rPr>
        <w:t xml:space="preserve">? </w:t>
      </w:r>
    </w:p>
    <w:p w:rsidR="0034015C" w:rsidRDefault="00835F2F" w:rsidP="005369A0">
      <w:pPr>
        <w:ind w:left="360"/>
        <w:contextualSpacing/>
        <w:rPr>
          <w:rFonts w:eastAsia="Calibri"/>
          <w:sz w:val="24"/>
          <w:szCs w:val="24"/>
        </w:rPr>
      </w:pPr>
      <w:r w:rsidRPr="00534573">
        <w:rPr>
          <w:rFonts w:eastAsia="Calibri"/>
          <w:sz w:val="24"/>
          <w:szCs w:val="24"/>
        </w:rPr>
        <w:t xml:space="preserve">The law </w:t>
      </w:r>
      <w:r w:rsidR="006C6538">
        <w:rPr>
          <w:rFonts w:eastAsia="Calibri"/>
          <w:sz w:val="24"/>
          <w:szCs w:val="24"/>
        </w:rPr>
        <w:t>s</w:t>
      </w:r>
      <w:r w:rsidR="00801C54" w:rsidRPr="00534573">
        <w:rPr>
          <w:rFonts w:eastAsia="Calibri"/>
          <w:sz w:val="24"/>
          <w:szCs w:val="24"/>
        </w:rPr>
        <w:t>tate</w:t>
      </w:r>
      <w:r w:rsidRPr="00534573">
        <w:rPr>
          <w:rFonts w:eastAsia="Calibri"/>
          <w:sz w:val="24"/>
          <w:szCs w:val="24"/>
        </w:rPr>
        <w:t xml:space="preserve">s </w:t>
      </w:r>
      <w:r w:rsidR="00233FE5" w:rsidRPr="00534573">
        <w:rPr>
          <w:rFonts w:eastAsia="Calibri"/>
          <w:sz w:val="24"/>
          <w:szCs w:val="24"/>
        </w:rPr>
        <w:t xml:space="preserve">that </w:t>
      </w:r>
      <w:r w:rsidRPr="00534573">
        <w:rPr>
          <w:rFonts w:eastAsia="Calibri"/>
          <w:sz w:val="24"/>
          <w:szCs w:val="24"/>
        </w:rPr>
        <w:t xml:space="preserve">the identified student percentage must be established using the </w:t>
      </w:r>
      <w:r w:rsidR="00F05F2C" w:rsidRPr="00534573">
        <w:rPr>
          <w:rFonts w:eastAsia="Calibri"/>
          <w:sz w:val="24"/>
          <w:szCs w:val="24"/>
        </w:rPr>
        <w:t xml:space="preserve">number of </w:t>
      </w:r>
      <w:r w:rsidRPr="00534573">
        <w:rPr>
          <w:rFonts w:eastAsia="Calibri"/>
          <w:sz w:val="24"/>
          <w:szCs w:val="24"/>
        </w:rPr>
        <w:t>identified students and</w:t>
      </w:r>
      <w:r w:rsidR="00F05F2C" w:rsidRPr="00534573">
        <w:rPr>
          <w:rFonts w:eastAsia="Calibri"/>
          <w:sz w:val="24"/>
          <w:szCs w:val="24"/>
        </w:rPr>
        <w:t xml:space="preserve"> total</w:t>
      </w:r>
      <w:r w:rsidRPr="00534573">
        <w:rPr>
          <w:rFonts w:eastAsia="Calibri"/>
          <w:sz w:val="24"/>
          <w:szCs w:val="24"/>
        </w:rPr>
        <w:t xml:space="preserve"> student</w:t>
      </w:r>
      <w:r w:rsidR="00487081" w:rsidRPr="00534573">
        <w:rPr>
          <w:rFonts w:eastAsia="Calibri"/>
          <w:sz w:val="24"/>
          <w:szCs w:val="24"/>
        </w:rPr>
        <w:t>s</w:t>
      </w:r>
      <w:r w:rsidRPr="00534573">
        <w:rPr>
          <w:rFonts w:eastAsia="Calibri"/>
          <w:sz w:val="24"/>
          <w:szCs w:val="24"/>
        </w:rPr>
        <w:t xml:space="preserve"> enrolled with access to the </w:t>
      </w:r>
      <w:r w:rsidR="00F05F2C" w:rsidRPr="00534573">
        <w:rPr>
          <w:rFonts w:eastAsia="Calibri"/>
          <w:sz w:val="24"/>
          <w:szCs w:val="24"/>
        </w:rPr>
        <w:t xml:space="preserve">NSLP </w:t>
      </w:r>
      <w:r w:rsidR="000D2BF0">
        <w:rPr>
          <w:rFonts w:eastAsia="Calibri"/>
          <w:sz w:val="24"/>
          <w:szCs w:val="24"/>
        </w:rPr>
        <w:t>or</w:t>
      </w:r>
      <w:r w:rsidR="000D2BF0" w:rsidRPr="00534573">
        <w:rPr>
          <w:rFonts w:eastAsia="Calibri"/>
          <w:sz w:val="24"/>
          <w:szCs w:val="24"/>
        </w:rPr>
        <w:t xml:space="preserve"> </w:t>
      </w:r>
      <w:r w:rsidR="00F05F2C" w:rsidRPr="00534573">
        <w:rPr>
          <w:rFonts w:eastAsia="Calibri"/>
          <w:sz w:val="24"/>
          <w:szCs w:val="24"/>
        </w:rPr>
        <w:t xml:space="preserve">SBP </w:t>
      </w:r>
      <w:r w:rsidR="0049767E">
        <w:rPr>
          <w:rFonts w:eastAsia="Calibri"/>
          <w:sz w:val="24"/>
          <w:szCs w:val="24"/>
        </w:rPr>
        <w:t>as of</w:t>
      </w:r>
      <w:r w:rsidRPr="00534573">
        <w:rPr>
          <w:rFonts w:eastAsia="Calibri"/>
          <w:sz w:val="24"/>
          <w:szCs w:val="24"/>
        </w:rPr>
        <w:t xml:space="preserve"> April 1</w:t>
      </w:r>
      <w:r w:rsidRPr="00534573">
        <w:rPr>
          <w:rFonts w:eastAsia="Calibri"/>
          <w:sz w:val="24"/>
          <w:szCs w:val="24"/>
          <w:vertAlign w:val="superscript"/>
        </w:rPr>
        <w:t>st</w:t>
      </w:r>
      <w:r w:rsidRPr="00534573">
        <w:rPr>
          <w:rFonts w:eastAsia="Calibri"/>
          <w:sz w:val="24"/>
          <w:szCs w:val="24"/>
        </w:rPr>
        <w:t xml:space="preserve"> of the prior year.</w:t>
      </w:r>
      <w:r w:rsidR="00487081" w:rsidRPr="00534573">
        <w:rPr>
          <w:rFonts w:eastAsia="Calibri"/>
          <w:sz w:val="24"/>
          <w:szCs w:val="24"/>
        </w:rPr>
        <w:t xml:space="preserve"> </w:t>
      </w:r>
      <w:r w:rsidR="00E46940" w:rsidRPr="00534573">
        <w:rPr>
          <w:rFonts w:eastAsia="Calibri"/>
          <w:sz w:val="24"/>
          <w:szCs w:val="24"/>
        </w:rPr>
        <w:t xml:space="preserve">The identified student percentage must </w:t>
      </w:r>
      <w:r w:rsidR="00E044B4" w:rsidRPr="00534573">
        <w:rPr>
          <w:rFonts w:eastAsia="Calibri"/>
          <w:sz w:val="24"/>
          <w:szCs w:val="24"/>
        </w:rPr>
        <w:t xml:space="preserve">therefore </w:t>
      </w:r>
      <w:r w:rsidR="00E46940" w:rsidRPr="00534573">
        <w:rPr>
          <w:rFonts w:eastAsia="Calibri"/>
          <w:sz w:val="24"/>
          <w:szCs w:val="24"/>
        </w:rPr>
        <w:t xml:space="preserve">be representative of the identified students and the student enrollment </w:t>
      </w:r>
      <w:r w:rsidR="0049767E">
        <w:rPr>
          <w:rFonts w:eastAsia="Calibri"/>
          <w:sz w:val="24"/>
          <w:szCs w:val="24"/>
        </w:rPr>
        <w:t>on</w:t>
      </w:r>
      <w:r w:rsidR="00E46940" w:rsidRPr="00534573">
        <w:rPr>
          <w:rFonts w:eastAsia="Calibri"/>
          <w:sz w:val="24"/>
          <w:szCs w:val="24"/>
        </w:rPr>
        <w:t xml:space="preserve"> April 1. Due to variations in the point in time for monthly updates in State and local systems</w:t>
      </w:r>
      <w:r w:rsidR="008B261F">
        <w:rPr>
          <w:rFonts w:eastAsia="Calibri"/>
          <w:sz w:val="24"/>
          <w:szCs w:val="24"/>
        </w:rPr>
        <w:t>,</w:t>
      </w:r>
      <w:r w:rsidR="00E46940" w:rsidRPr="00534573">
        <w:rPr>
          <w:rFonts w:eastAsia="Calibri"/>
          <w:sz w:val="24"/>
          <w:szCs w:val="24"/>
        </w:rPr>
        <w:t xml:space="preserve"> updates could be done before or after April 1 to account for differences in operational procedures, but the data would have to be </w:t>
      </w:r>
    </w:p>
    <w:p w:rsidR="005369A0" w:rsidRDefault="00E46940" w:rsidP="005369A0">
      <w:pPr>
        <w:ind w:left="360"/>
        <w:contextualSpacing/>
        <w:rPr>
          <w:rFonts w:eastAsia="Calibri"/>
          <w:sz w:val="24"/>
          <w:szCs w:val="24"/>
        </w:rPr>
      </w:pPr>
      <w:proofErr w:type="gramStart"/>
      <w:r w:rsidRPr="00534573">
        <w:rPr>
          <w:rFonts w:eastAsia="Calibri"/>
          <w:sz w:val="24"/>
          <w:szCs w:val="24"/>
        </w:rPr>
        <w:t>representative</w:t>
      </w:r>
      <w:proofErr w:type="gramEnd"/>
      <w:r w:rsidRPr="00534573">
        <w:rPr>
          <w:rFonts w:eastAsia="Calibri"/>
          <w:sz w:val="24"/>
          <w:szCs w:val="24"/>
        </w:rPr>
        <w:t xml:space="preserve"> of this date.</w:t>
      </w:r>
      <w:r w:rsidR="003245A4">
        <w:rPr>
          <w:rFonts w:eastAsia="Calibri"/>
          <w:sz w:val="24"/>
          <w:szCs w:val="24"/>
        </w:rPr>
        <w:t xml:space="preserve"> </w:t>
      </w:r>
      <w:r w:rsidR="00207303">
        <w:rPr>
          <w:rFonts w:eastAsia="Calibri"/>
          <w:sz w:val="24"/>
          <w:szCs w:val="24"/>
        </w:rPr>
        <w:t xml:space="preserve"> </w:t>
      </w:r>
      <w:r w:rsidR="00B71B23">
        <w:rPr>
          <w:rFonts w:eastAsia="Calibri"/>
          <w:sz w:val="24"/>
          <w:szCs w:val="24"/>
        </w:rPr>
        <w:t>S</w:t>
      </w:r>
      <w:r w:rsidR="00207303">
        <w:rPr>
          <w:rFonts w:eastAsia="Calibri"/>
          <w:sz w:val="24"/>
          <w:szCs w:val="24"/>
        </w:rPr>
        <w:t xml:space="preserve">ince </w:t>
      </w:r>
      <w:r w:rsidR="0049767E">
        <w:rPr>
          <w:rFonts w:eastAsia="Calibri"/>
          <w:sz w:val="24"/>
          <w:szCs w:val="24"/>
        </w:rPr>
        <w:t xml:space="preserve">regulations regarding direct certification at </w:t>
      </w:r>
      <w:r w:rsidR="00207303">
        <w:rPr>
          <w:rFonts w:eastAsia="Calibri"/>
          <w:sz w:val="24"/>
          <w:szCs w:val="24"/>
        </w:rPr>
        <w:t>245.6(b)(3)(ii) require direct certification</w:t>
      </w:r>
      <w:r w:rsidR="0049767E">
        <w:rPr>
          <w:rFonts w:eastAsia="Calibri"/>
          <w:sz w:val="24"/>
          <w:szCs w:val="24"/>
        </w:rPr>
        <w:t xml:space="preserve"> matches with SNAP</w:t>
      </w:r>
      <w:r w:rsidR="00207303">
        <w:rPr>
          <w:rFonts w:eastAsia="Calibri"/>
          <w:sz w:val="24"/>
          <w:szCs w:val="24"/>
        </w:rPr>
        <w:t xml:space="preserve"> to be run three times each year the timing of one of these</w:t>
      </w:r>
      <w:r w:rsidR="0049767E">
        <w:rPr>
          <w:rFonts w:eastAsia="Calibri"/>
          <w:sz w:val="24"/>
          <w:szCs w:val="24"/>
        </w:rPr>
        <w:t xml:space="preserve"> matches</w:t>
      </w:r>
      <w:r w:rsidR="00207303">
        <w:rPr>
          <w:rFonts w:eastAsia="Calibri"/>
          <w:sz w:val="24"/>
          <w:szCs w:val="24"/>
        </w:rPr>
        <w:t xml:space="preserve"> can easily be planned to represent April 1.  </w:t>
      </w:r>
    </w:p>
    <w:p w:rsidR="005369A0" w:rsidRDefault="005369A0" w:rsidP="005369A0">
      <w:pPr>
        <w:ind w:left="360"/>
        <w:contextualSpacing/>
        <w:rPr>
          <w:rFonts w:eastAsia="Calibri"/>
          <w:sz w:val="24"/>
          <w:szCs w:val="24"/>
        </w:rPr>
      </w:pPr>
    </w:p>
    <w:p w:rsidR="00835F2F" w:rsidRPr="00534573" w:rsidRDefault="00835F2F" w:rsidP="005369A0">
      <w:pPr>
        <w:numPr>
          <w:ilvl w:val="0"/>
          <w:numId w:val="27"/>
        </w:numPr>
        <w:contextualSpacing/>
        <w:rPr>
          <w:rFonts w:eastAsia="Calibri"/>
          <w:sz w:val="24"/>
          <w:szCs w:val="24"/>
        </w:rPr>
      </w:pPr>
      <w:r w:rsidRPr="00534573">
        <w:rPr>
          <w:rFonts w:eastAsia="Calibri"/>
          <w:b/>
          <w:sz w:val="24"/>
          <w:szCs w:val="24"/>
        </w:rPr>
        <w:t>How should we round when determining the identified student</w:t>
      </w:r>
      <w:r w:rsidR="00256A60" w:rsidRPr="00534573">
        <w:rPr>
          <w:rFonts w:eastAsia="Calibri"/>
          <w:b/>
          <w:sz w:val="24"/>
          <w:szCs w:val="24"/>
        </w:rPr>
        <w:t xml:space="preserve"> percentage</w:t>
      </w:r>
      <w:r w:rsidRPr="00534573">
        <w:rPr>
          <w:rFonts w:eastAsia="Calibri"/>
          <w:sz w:val="24"/>
          <w:szCs w:val="24"/>
        </w:rPr>
        <w:t>?</w:t>
      </w:r>
    </w:p>
    <w:p w:rsidR="00835F2F" w:rsidRPr="00534573" w:rsidRDefault="00835F2F" w:rsidP="00835F2F">
      <w:pPr>
        <w:spacing w:after="200" w:line="276" w:lineRule="auto"/>
        <w:ind w:left="360"/>
        <w:rPr>
          <w:rFonts w:eastAsia="Calibri"/>
          <w:sz w:val="24"/>
          <w:szCs w:val="24"/>
        </w:rPr>
      </w:pPr>
      <w:r w:rsidRPr="00534573">
        <w:rPr>
          <w:rFonts w:eastAsia="Calibri"/>
          <w:sz w:val="24"/>
          <w:szCs w:val="24"/>
        </w:rPr>
        <w:t>When determining the percentage of identified students you should NOT round.</w:t>
      </w:r>
      <w:r w:rsidR="0043188B" w:rsidRPr="00534573">
        <w:rPr>
          <w:rFonts w:eastAsia="Calibri"/>
          <w:sz w:val="24"/>
          <w:szCs w:val="24"/>
        </w:rPr>
        <w:t xml:space="preserve"> </w:t>
      </w:r>
      <w:r w:rsidRPr="00534573">
        <w:rPr>
          <w:rFonts w:eastAsia="Calibri"/>
          <w:sz w:val="24"/>
          <w:szCs w:val="24"/>
        </w:rPr>
        <w:t xml:space="preserve"> The percentage must be at least 40% to be eligible.</w:t>
      </w:r>
      <w:r w:rsidR="0043188B" w:rsidRPr="00534573">
        <w:rPr>
          <w:rFonts w:eastAsia="Calibri"/>
          <w:sz w:val="24"/>
          <w:szCs w:val="24"/>
        </w:rPr>
        <w:t xml:space="preserve"> </w:t>
      </w:r>
      <w:r w:rsidRPr="00534573">
        <w:rPr>
          <w:rFonts w:eastAsia="Calibri"/>
          <w:sz w:val="24"/>
          <w:szCs w:val="24"/>
        </w:rPr>
        <w:t xml:space="preserve"> A percentage of 39.98% does NOT meet the threshold</w:t>
      </w:r>
      <w:r w:rsidR="00D43E31" w:rsidRPr="00534573">
        <w:rPr>
          <w:rFonts w:eastAsia="Calibri"/>
          <w:sz w:val="24"/>
          <w:szCs w:val="24"/>
        </w:rPr>
        <w:t xml:space="preserve">.  </w:t>
      </w:r>
    </w:p>
    <w:p w:rsidR="00835F2F" w:rsidRPr="00534573" w:rsidRDefault="00835F2F" w:rsidP="00835F2F">
      <w:pPr>
        <w:pBdr>
          <w:top w:val="single" w:sz="4" w:space="1" w:color="auto"/>
          <w:left w:val="single" w:sz="4" w:space="4" w:color="auto"/>
          <w:bottom w:val="single" w:sz="4" w:space="1" w:color="auto"/>
          <w:right w:val="single" w:sz="4" w:space="4" w:color="auto"/>
        </w:pBdr>
        <w:jc w:val="center"/>
        <w:rPr>
          <w:rFonts w:eastAsia="Calibri"/>
          <w:b/>
          <w:sz w:val="24"/>
          <w:szCs w:val="24"/>
        </w:rPr>
      </w:pPr>
      <w:r w:rsidRPr="00534573">
        <w:rPr>
          <w:rFonts w:eastAsia="Calibri"/>
          <w:b/>
          <w:sz w:val="24"/>
          <w:szCs w:val="24"/>
        </w:rPr>
        <w:t>Non-Federal Sources</w:t>
      </w:r>
    </w:p>
    <w:p w:rsidR="00835F2F" w:rsidRPr="00534573" w:rsidRDefault="00835F2F" w:rsidP="00835F2F">
      <w:pPr>
        <w:rPr>
          <w:rFonts w:eastAsia="Calibri"/>
          <w:sz w:val="24"/>
          <w:szCs w:val="24"/>
        </w:rPr>
      </w:pPr>
    </w:p>
    <w:p w:rsidR="00E40EC0" w:rsidRPr="00534573" w:rsidRDefault="00E40EC0" w:rsidP="00835F2F">
      <w:pPr>
        <w:numPr>
          <w:ilvl w:val="0"/>
          <w:numId w:val="27"/>
        </w:numPr>
        <w:contextualSpacing/>
        <w:rPr>
          <w:rFonts w:eastAsia="Calibri"/>
          <w:sz w:val="24"/>
          <w:szCs w:val="24"/>
        </w:rPr>
      </w:pPr>
      <w:r w:rsidRPr="00534573">
        <w:rPr>
          <w:rFonts w:eastAsia="Calibri"/>
          <w:b/>
          <w:sz w:val="24"/>
          <w:szCs w:val="24"/>
        </w:rPr>
        <w:t>What may be counted as “funding from non-Federal sources”</w:t>
      </w:r>
      <w:r w:rsidR="0065497A" w:rsidRPr="00534573">
        <w:rPr>
          <w:rFonts w:eastAsia="Calibri"/>
          <w:b/>
          <w:sz w:val="24"/>
          <w:szCs w:val="24"/>
        </w:rPr>
        <w:t>?</w:t>
      </w:r>
    </w:p>
    <w:p w:rsidR="006A1096" w:rsidRPr="00534573" w:rsidRDefault="00E40EC0">
      <w:pPr>
        <w:tabs>
          <w:tab w:val="num" w:pos="1440"/>
        </w:tabs>
        <w:spacing w:line="276" w:lineRule="auto"/>
        <w:ind w:left="360"/>
        <w:rPr>
          <w:rFonts w:eastAsia="Calibri"/>
          <w:sz w:val="24"/>
          <w:szCs w:val="24"/>
        </w:rPr>
      </w:pPr>
      <w:r w:rsidRPr="00534573">
        <w:rPr>
          <w:rFonts w:eastAsia="Calibri"/>
          <w:sz w:val="24"/>
          <w:szCs w:val="24"/>
        </w:rPr>
        <w:t xml:space="preserve">Any funds other than Federal reimbursement available to the nonprofit school food service account may be used.  Please note that, similar to Provision 2 and 3, the use of </w:t>
      </w:r>
      <w:r w:rsidR="00CD367B" w:rsidRPr="00534573">
        <w:rPr>
          <w:rFonts w:eastAsia="Calibri"/>
          <w:sz w:val="24"/>
          <w:szCs w:val="24"/>
        </w:rPr>
        <w:t>n</w:t>
      </w:r>
      <w:r w:rsidRPr="00534573">
        <w:rPr>
          <w:rFonts w:eastAsia="Calibri"/>
          <w:sz w:val="24"/>
          <w:szCs w:val="24"/>
        </w:rPr>
        <w:t xml:space="preserve">on-Federal funds is only necessary if the total amount of Federal reimbursement through the </w:t>
      </w:r>
      <w:r w:rsidR="00A03DE9" w:rsidRPr="00534573">
        <w:rPr>
          <w:rFonts w:eastAsia="Calibri"/>
          <w:sz w:val="24"/>
          <w:szCs w:val="24"/>
        </w:rPr>
        <w:t>CEP</w:t>
      </w:r>
      <w:r w:rsidRPr="00534573">
        <w:rPr>
          <w:rFonts w:eastAsia="Calibri"/>
          <w:sz w:val="24"/>
          <w:szCs w:val="24"/>
        </w:rPr>
        <w:t xml:space="preserve"> does not cover the costs of serving </w:t>
      </w:r>
      <w:r w:rsidR="00CD367B" w:rsidRPr="00534573">
        <w:rPr>
          <w:rFonts w:eastAsia="Calibri"/>
          <w:sz w:val="24"/>
          <w:szCs w:val="24"/>
        </w:rPr>
        <w:t xml:space="preserve">free meals to </w:t>
      </w:r>
      <w:r w:rsidRPr="00534573">
        <w:rPr>
          <w:rFonts w:eastAsia="Calibri"/>
          <w:sz w:val="24"/>
          <w:szCs w:val="24"/>
        </w:rPr>
        <w:t xml:space="preserve">all students.  </w:t>
      </w:r>
    </w:p>
    <w:p w:rsidR="006A1096" w:rsidRPr="00534573" w:rsidRDefault="006A1096">
      <w:pPr>
        <w:tabs>
          <w:tab w:val="num" w:pos="1440"/>
        </w:tabs>
        <w:spacing w:line="276" w:lineRule="auto"/>
        <w:ind w:left="360"/>
        <w:rPr>
          <w:rFonts w:eastAsia="Calibri"/>
          <w:sz w:val="24"/>
          <w:szCs w:val="24"/>
        </w:rPr>
      </w:pPr>
    </w:p>
    <w:p w:rsidR="007C30BE" w:rsidRDefault="00E40EC0">
      <w:pPr>
        <w:tabs>
          <w:tab w:val="num" w:pos="1440"/>
        </w:tabs>
        <w:spacing w:line="276" w:lineRule="auto"/>
        <w:ind w:left="360"/>
        <w:rPr>
          <w:rFonts w:eastAsia="Calibri"/>
          <w:sz w:val="24"/>
          <w:szCs w:val="24"/>
        </w:rPr>
      </w:pPr>
      <w:r w:rsidRPr="00534573">
        <w:rPr>
          <w:rFonts w:eastAsia="Calibri"/>
          <w:sz w:val="24"/>
          <w:szCs w:val="24"/>
        </w:rPr>
        <w:t>Examples o</w:t>
      </w:r>
      <w:r w:rsidR="00D80B72" w:rsidRPr="00534573">
        <w:rPr>
          <w:rFonts w:eastAsia="Calibri"/>
          <w:sz w:val="24"/>
          <w:szCs w:val="24"/>
        </w:rPr>
        <w:t>f</w:t>
      </w:r>
      <w:r w:rsidR="00AD5D6E" w:rsidRPr="00534573">
        <w:rPr>
          <w:rFonts w:eastAsia="Calibri"/>
          <w:sz w:val="24"/>
          <w:szCs w:val="24"/>
        </w:rPr>
        <w:t xml:space="preserve"> </w:t>
      </w:r>
      <w:r w:rsidR="00CD367B" w:rsidRPr="00534573">
        <w:rPr>
          <w:rFonts w:eastAsia="Calibri"/>
          <w:sz w:val="24"/>
          <w:szCs w:val="24"/>
        </w:rPr>
        <w:t>n</w:t>
      </w:r>
      <w:r w:rsidR="00AD5D6E" w:rsidRPr="00534573">
        <w:rPr>
          <w:rFonts w:eastAsia="Calibri"/>
          <w:sz w:val="24"/>
          <w:szCs w:val="24"/>
        </w:rPr>
        <w:t>on-F</w:t>
      </w:r>
      <w:r w:rsidRPr="00534573">
        <w:rPr>
          <w:rFonts w:eastAsia="Calibri"/>
          <w:sz w:val="24"/>
          <w:szCs w:val="24"/>
        </w:rPr>
        <w:t>ederal sources include</w:t>
      </w:r>
      <w:r w:rsidR="00C77022">
        <w:rPr>
          <w:rFonts w:eastAsia="Calibri"/>
          <w:sz w:val="24"/>
          <w:szCs w:val="24"/>
        </w:rPr>
        <w:t>,</w:t>
      </w:r>
      <w:r w:rsidR="00256A60" w:rsidRPr="00534573">
        <w:rPr>
          <w:rFonts w:eastAsia="Calibri"/>
          <w:sz w:val="24"/>
          <w:szCs w:val="24"/>
        </w:rPr>
        <w:t xml:space="preserve"> but are not limited to</w:t>
      </w:r>
      <w:r w:rsidRPr="00534573">
        <w:rPr>
          <w:rFonts w:eastAsia="Calibri"/>
          <w:sz w:val="24"/>
          <w:szCs w:val="24"/>
        </w:rPr>
        <w:t>:</w:t>
      </w:r>
      <w:r w:rsidR="00CD367B" w:rsidRPr="00534573">
        <w:rPr>
          <w:rFonts w:eastAsia="Calibri"/>
          <w:sz w:val="24"/>
          <w:szCs w:val="24"/>
        </w:rPr>
        <w:t xml:space="preserve"> </w:t>
      </w:r>
      <w:r w:rsidRPr="00534573">
        <w:rPr>
          <w:rFonts w:eastAsia="Calibri"/>
          <w:sz w:val="24"/>
          <w:szCs w:val="24"/>
        </w:rPr>
        <w:t xml:space="preserve"> </w:t>
      </w:r>
      <w:r w:rsidR="00256A60" w:rsidRPr="00534573">
        <w:rPr>
          <w:rFonts w:eastAsia="Calibri"/>
          <w:sz w:val="24"/>
          <w:szCs w:val="24"/>
        </w:rPr>
        <w:t xml:space="preserve">any </w:t>
      </w:r>
      <w:r w:rsidR="005816D2" w:rsidRPr="00534573">
        <w:rPr>
          <w:rFonts w:eastAsia="Calibri"/>
          <w:sz w:val="24"/>
          <w:szCs w:val="24"/>
        </w:rPr>
        <w:t xml:space="preserve">portion of </w:t>
      </w:r>
      <w:r w:rsidR="00801C54" w:rsidRPr="00534573">
        <w:rPr>
          <w:rFonts w:eastAsia="Calibri"/>
          <w:sz w:val="24"/>
          <w:szCs w:val="24"/>
        </w:rPr>
        <w:t>State</w:t>
      </w:r>
      <w:r w:rsidR="005816D2" w:rsidRPr="00534573">
        <w:rPr>
          <w:rFonts w:eastAsia="Calibri"/>
          <w:sz w:val="24"/>
          <w:szCs w:val="24"/>
        </w:rPr>
        <w:t xml:space="preserve"> revenue matching funds that exceeds the minimum requirem</w:t>
      </w:r>
      <w:r w:rsidR="00456896" w:rsidRPr="00534573">
        <w:rPr>
          <w:rFonts w:eastAsia="Calibri"/>
          <w:sz w:val="24"/>
          <w:szCs w:val="24"/>
        </w:rPr>
        <w:t xml:space="preserve">ent established in 7 CFR </w:t>
      </w:r>
      <w:r w:rsidR="00CD367B" w:rsidRPr="00534573">
        <w:rPr>
          <w:rFonts w:eastAsia="Calibri"/>
          <w:sz w:val="24"/>
          <w:szCs w:val="24"/>
        </w:rPr>
        <w:t xml:space="preserve">Part </w:t>
      </w:r>
      <w:r w:rsidR="00456896" w:rsidRPr="00534573">
        <w:rPr>
          <w:rFonts w:eastAsia="Calibri"/>
          <w:sz w:val="24"/>
          <w:szCs w:val="24"/>
        </w:rPr>
        <w:t>210.17</w:t>
      </w:r>
      <w:r w:rsidR="007257A1" w:rsidRPr="00534573">
        <w:rPr>
          <w:rFonts w:eastAsia="Calibri"/>
          <w:sz w:val="24"/>
          <w:szCs w:val="24"/>
        </w:rPr>
        <w:t xml:space="preserve">, </w:t>
      </w:r>
      <w:r w:rsidR="00233FE5" w:rsidRPr="00534573">
        <w:rPr>
          <w:rFonts w:eastAsia="Calibri"/>
          <w:sz w:val="24"/>
          <w:szCs w:val="24"/>
        </w:rPr>
        <w:t>p</w:t>
      </w:r>
      <w:r w:rsidR="007257A1" w:rsidRPr="00534573">
        <w:rPr>
          <w:rFonts w:eastAsia="Calibri"/>
          <w:sz w:val="24"/>
          <w:szCs w:val="24"/>
        </w:rPr>
        <w:t>rofits</w:t>
      </w:r>
      <w:r w:rsidR="00456896" w:rsidRPr="00534573">
        <w:rPr>
          <w:rFonts w:eastAsia="Calibri"/>
          <w:sz w:val="24"/>
          <w:szCs w:val="24"/>
        </w:rPr>
        <w:t xml:space="preserve"> from </w:t>
      </w:r>
      <w:r w:rsidR="00154732" w:rsidRPr="00154732">
        <w:rPr>
          <w:rFonts w:eastAsia="Calibri"/>
          <w:sz w:val="24"/>
          <w:szCs w:val="24"/>
        </w:rPr>
        <w:t>à</w:t>
      </w:r>
      <w:r w:rsidR="00456896" w:rsidRPr="00534573">
        <w:rPr>
          <w:rFonts w:eastAsia="Calibri"/>
          <w:sz w:val="24"/>
          <w:szCs w:val="24"/>
        </w:rPr>
        <w:t xml:space="preserve"> la carte sales, </w:t>
      </w:r>
      <w:r w:rsidR="00534573">
        <w:rPr>
          <w:rFonts w:eastAsia="Calibri"/>
          <w:sz w:val="24"/>
          <w:szCs w:val="24"/>
        </w:rPr>
        <w:t xml:space="preserve">cash donations, </w:t>
      </w:r>
      <w:r w:rsidR="00456896" w:rsidRPr="00534573">
        <w:rPr>
          <w:rFonts w:eastAsia="Calibri"/>
          <w:sz w:val="24"/>
          <w:szCs w:val="24"/>
        </w:rPr>
        <w:t xml:space="preserve">and </w:t>
      </w:r>
      <w:r w:rsidR="00233FE5" w:rsidRPr="00534573">
        <w:rPr>
          <w:rFonts w:eastAsia="Calibri"/>
          <w:sz w:val="24"/>
          <w:szCs w:val="24"/>
        </w:rPr>
        <w:t>i</w:t>
      </w:r>
      <w:r w:rsidR="00456896" w:rsidRPr="00534573">
        <w:rPr>
          <w:rFonts w:eastAsia="Calibri"/>
          <w:sz w:val="24"/>
          <w:szCs w:val="24"/>
        </w:rPr>
        <w:t>n-kind contribution funds from outside sources such as volunteer services</w:t>
      </w:r>
      <w:r w:rsidR="00233FE5" w:rsidRPr="00534573">
        <w:rPr>
          <w:rFonts w:eastAsia="Calibri"/>
          <w:sz w:val="24"/>
          <w:szCs w:val="24"/>
        </w:rPr>
        <w:t>.</w:t>
      </w:r>
    </w:p>
    <w:p w:rsidR="00D80B72" w:rsidRDefault="007C30BE" w:rsidP="007C30BE">
      <w:pPr>
        <w:tabs>
          <w:tab w:val="num" w:pos="1440"/>
        </w:tabs>
        <w:spacing w:line="276" w:lineRule="auto"/>
        <w:ind w:left="360"/>
        <w:rPr>
          <w:rFonts w:eastAsia="Calibri"/>
          <w:sz w:val="24"/>
          <w:szCs w:val="24"/>
        </w:rPr>
      </w:pPr>
      <w:r>
        <w:rPr>
          <w:rFonts w:eastAsia="Calibri"/>
          <w:sz w:val="24"/>
          <w:szCs w:val="24"/>
        </w:rPr>
        <w:br w:type="page"/>
      </w:r>
    </w:p>
    <w:p w:rsidR="00835F2F" w:rsidRPr="00534573" w:rsidRDefault="0065497A" w:rsidP="00835F2F">
      <w:pPr>
        <w:pBdr>
          <w:top w:val="single" w:sz="4" w:space="1" w:color="auto"/>
          <w:left w:val="single" w:sz="4" w:space="4" w:color="auto"/>
          <w:bottom w:val="single" w:sz="4" w:space="1" w:color="auto"/>
          <w:right w:val="single" w:sz="4" w:space="4" w:color="auto"/>
        </w:pBdr>
        <w:jc w:val="center"/>
        <w:rPr>
          <w:rFonts w:eastAsia="Calibri"/>
          <w:b/>
          <w:sz w:val="24"/>
          <w:szCs w:val="24"/>
        </w:rPr>
      </w:pPr>
      <w:r w:rsidRPr="00534573">
        <w:rPr>
          <w:rFonts w:eastAsia="Calibri"/>
          <w:b/>
          <w:sz w:val="24"/>
          <w:szCs w:val="24"/>
        </w:rPr>
        <w:lastRenderedPageBreak/>
        <w:t>Reimbursements</w:t>
      </w:r>
    </w:p>
    <w:p w:rsidR="00456896" w:rsidRPr="00534573" w:rsidRDefault="00456896" w:rsidP="00835F2F">
      <w:pPr>
        <w:rPr>
          <w:rFonts w:eastAsia="Calibri"/>
          <w:sz w:val="24"/>
          <w:szCs w:val="24"/>
        </w:rPr>
      </w:pPr>
    </w:p>
    <w:p w:rsidR="00451746" w:rsidRPr="00534573" w:rsidRDefault="00451746" w:rsidP="00451746">
      <w:pPr>
        <w:numPr>
          <w:ilvl w:val="0"/>
          <w:numId w:val="27"/>
        </w:numPr>
        <w:contextualSpacing/>
        <w:rPr>
          <w:rFonts w:eastAsia="Calibri"/>
          <w:sz w:val="24"/>
          <w:szCs w:val="24"/>
        </w:rPr>
      </w:pPr>
      <w:r w:rsidRPr="00534573">
        <w:rPr>
          <w:rFonts w:eastAsia="Calibri"/>
          <w:b/>
          <w:sz w:val="24"/>
          <w:szCs w:val="24"/>
        </w:rPr>
        <w:t xml:space="preserve">How </w:t>
      </w:r>
      <w:r w:rsidR="00616812">
        <w:rPr>
          <w:rFonts w:eastAsia="Calibri"/>
          <w:b/>
          <w:sz w:val="24"/>
          <w:szCs w:val="24"/>
        </w:rPr>
        <w:t>are</w:t>
      </w:r>
      <w:r w:rsidRPr="00534573">
        <w:rPr>
          <w:rFonts w:eastAsia="Calibri"/>
          <w:b/>
          <w:sz w:val="24"/>
          <w:szCs w:val="24"/>
        </w:rPr>
        <w:t xml:space="preserve"> breakfast</w:t>
      </w:r>
      <w:r w:rsidR="00616812">
        <w:rPr>
          <w:rFonts w:eastAsia="Calibri"/>
          <w:b/>
          <w:sz w:val="24"/>
          <w:szCs w:val="24"/>
        </w:rPr>
        <w:t xml:space="preserve"> and lunch</w:t>
      </w:r>
      <w:r w:rsidRPr="00534573">
        <w:rPr>
          <w:rFonts w:eastAsia="Calibri"/>
          <w:b/>
          <w:sz w:val="24"/>
          <w:szCs w:val="24"/>
        </w:rPr>
        <w:t xml:space="preserve"> reimbursed through the CEP? </w:t>
      </w:r>
    </w:p>
    <w:p w:rsidR="00451746" w:rsidRPr="00534573" w:rsidRDefault="00451746" w:rsidP="00451746">
      <w:pPr>
        <w:spacing w:line="276" w:lineRule="auto"/>
        <w:ind w:left="360"/>
        <w:rPr>
          <w:rFonts w:eastAsia="Calibri"/>
          <w:sz w:val="24"/>
          <w:szCs w:val="24"/>
        </w:rPr>
      </w:pPr>
      <w:r w:rsidRPr="00534573">
        <w:rPr>
          <w:rFonts w:eastAsia="Calibri"/>
          <w:sz w:val="24"/>
          <w:szCs w:val="24"/>
        </w:rPr>
        <w:t>The identified student percentage is used to determine reimbursements for both breakfast and lunch.  This percentage multiplied by 1.6 is the</w:t>
      </w:r>
      <w:r w:rsidR="00036549">
        <w:rPr>
          <w:rFonts w:eastAsia="Calibri"/>
          <w:sz w:val="24"/>
          <w:szCs w:val="24"/>
        </w:rPr>
        <w:t xml:space="preserve"> free claiming percentage.  </w:t>
      </w:r>
      <w:r w:rsidR="0034015C">
        <w:rPr>
          <w:rFonts w:eastAsia="Calibri"/>
          <w:sz w:val="24"/>
          <w:szCs w:val="24"/>
        </w:rPr>
        <w:t>The free claiming percentage</w:t>
      </w:r>
      <w:r w:rsidR="00036549">
        <w:rPr>
          <w:rFonts w:eastAsia="Calibri"/>
          <w:sz w:val="24"/>
          <w:szCs w:val="24"/>
        </w:rPr>
        <w:t xml:space="preserve"> is</w:t>
      </w:r>
      <w:r w:rsidRPr="00534573">
        <w:rPr>
          <w:rFonts w:eastAsia="Calibri"/>
          <w:sz w:val="24"/>
          <w:szCs w:val="24"/>
        </w:rPr>
        <w:t xml:space="preserve"> applied to the total</w:t>
      </w:r>
      <w:r w:rsidR="00036549">
        <w:rPr>
          <w:rFonts w:eastAsia="Calibri"/>
          <w:sz w:val="24"/>
          <w:szCs w:val="24"/>
        </w:rPr>
        <w:t xml:space="preserve"> number of</w:t>
      </w:r>
      <w:r w:rsidRPr="00534573">
        <w:rPr>
          <w:rFonts w:eastAsia="Calibri"/>
          <w:sz w:val="24"/>
          <w:szCs w:val="24"/>
        </w:rPr>
        <w:t xml:space="preserve"> breakfasts and </w:t>
      </w:r>
      <w:r w:rsidR="00036549">
        <w:rPr>
          <w:rFonts w:eastAsia="Calibri"/>
          <w:sz w:val="24"/>
          <w:szCs w:val="24"/>
        </w:rPr>
        <w:t xml:space="preserve">the </w:t>
      </w:r>
      <w:r w:rsidRPr="00534573">
        <w:rPr>
          <w:rFonts w:eastAsia="Calibri"/>
          <w:sz w:val="24"/>
          <w:szCs w:val="24"/>
        </w:rPr>
        <w:t>total</w:t>
      </w:r>
      <w:r w:rsidR="00036549">
        <w:rPr>
          <w:rFonts w:eastAsia="Calibri"/>
          <w:sz w:val="24"/>
          <w:szCs w:val="24"/>
        </w:rPr>
        <w:t xml:space="preserve"> number of</w:t>
      </w:r>
      <w:r w:rsidRPr="00534573">
        <w:rPr>
          <w:rFonts w:eastAsia="Calibri"/>
          <w:sz w:val="24"/>
          <w:szCs w:val="24"/>
        </w:rPr>
        <w:t xml:space="preserve"> lunches served to determine how many breakfasts and lunches are </w:t>
      </w:r>
      <w:r w:rsidR="000020D6">
        <w:rPr>
          <w:rFonts w:eastAsia="Calibri"/>
          <w:sz w:val="24"/>
          <w:szCs w:val="24"/>
        </w:rPr>
        <w:t>claim</w:t>
      </w:r>
      <w:r w:rsidRPr="00534573">
        <w:rPr>
          <w:rFonts w:eastAsia="Calibri"/>
          <w:sz w:val="24"/>
          <w:szCs w:val="24"/>
        </w:rPr>
        <w:t xml:space="preserve">ed at the free rate.  </w:t>
      </w:r>
      <w:r w:rsidR="00C77022">
        <w:rPr>
          <w:rFonts w:eastAsia="Calibri"/>
          <w:sz w:val="24"/>
          <w:szCs w:val="24"/>
        </w:rPr>
        <w:t>T</w:t>
      </w:r>
      <w:r w:rsidRPr="00534573">
        <w:rPr>
          <w:rFonts w:eastAsia="Calibri"/>
          <w:sz w:val="24"/>
          <w:szCs w:val="24"/>
        </w:rPr>
        <w:t xml:space="preserve">he remaining meals are reimbursed at the paid rate.  </w:t>
      </w:r>
    </w:p>
    <w:p w:rsidR="00451746" w:rsidRPr="009F5A1E" w:rsidRDefault="000020D6" w:rsidP="009F5A1E">
      <w:pPr>
        <w:ind w:left="360"/>
        <w:contextualSpacing/>
        <w:rPr>
          <w:rFonts w:eastAsia="Calibri"/>
          <w:sz w:val="24"/>
          <w:szCs w:val="24"/>
        </w:rPr>
      </w:pPr>
      <w:r w:rsidRPr="0007609F">
        <w:rPr>
          <w:iCs/>
          <w:sz w:val="24"/>
          <w:szCs w:val="24"/>
        </w:rPr>
        <w:t xml:space="preserve">  </w:t>
      </w:r>
    </w:p>
    <w:p w:rsidR="00456896" w:rsidRPr="00534573" w:rsidRDefault="00456896" w:rsidP="00835F2F">
      <w:pPr>
        <w:numPr>
          <w:ilvl w:val="0"/>
          <w:numId w:val="27"/>
        </w:numPr>
        <w:contextualSpacing/>
        <w:rPr>
          <w:rFonts w:eastAsia="Calibri"/>
          <w:sz w:val="24"/>
          <w:szCs w:val="24"/>
        </w:rPr>
      </w:pPr>
      <w:r w:rsidRPr="00534573">
        <w:rPr>
          <w:rFonts w:eastAsia="Calibri"/>
          <w:b/>
          <w:sz w:val="24"/>
          <w:szCs w:val="24"/>
        </w:rPr>
        <w:t xml:space="preserve">Are schools electing the </w:t>
      </w:r>
      <w:r w:rsidR="00A03DE9" w:rsidRPr="00534573">
        <w:rPr>
          <w:rFonts w:eastAsia="Calibri"/>
          <w:b/>
          <w:sz w:val="24"/>
          <w:szCs w:val="24"/>
        </w:rPr>
        <w:t>CEP</w:t>
      </w:r>
      <w:r w:rsidR="00944C52">
        <w:rPr>
          <w:rFonts w:eastAsia="Calibri"/>
          <w:b/>
          <w:sz w:val="24"/>
          <w:szCs w:val="24"/>
        </w:rPr>
        <w:t xml:space="preserve"> able to receive the extra </w:t>
      </w:r>
      <w:r w:rsidRPr="00534573">
        <w:rPr>
          <w:rFonts w:eastAsia="Calibri"/>
          <w:b/>
          <w:sz w:val="24"/>
          <w:szCs w:val="24"/>
        </w:rPr>
        <w:t>2 cents lunch reimbursement and severe need breakfast reimbursements?</w:t>
      </w:r>
    </w:p>
    <w:p w:rsidR="006A1096" w:rsidRPr="00534573" w:rsidRDefault="00456896">
      <w:pPr>
        <w:spacing w:line="276" w:lineRule="auto"/>
        <w:ind w:left="360"/>
        <w:rPr>
          <w:rFonts w:eastAsia="Calibri"/>
          <w:sz w:val="24"/>
          <w:szCs w:val="24"/>
        </w:rPr>
      </w:pPr>
      <w:r w:rsidRPr="00534573">
        <w:rPr>
          <w:rFonts w:eastAsia="Calibri"/>
          <w:sz w:val="24"/>
          <w:szCs w:val="24"/>
        </w:rPr>
        <w:t xml:space="preserve">Yes.  </w:t>
      </w:r>
      <w:r w:rsidR="00A03DE9" w:rsidRPr="00534573">
        <w:rPr>
          <w:rFonts w:eastAsia="Calibri"/>
          <w:sz w:val="24"/>
          <w:szCs w:val="24"/>
        </w:rPr>
        <w:t>CEP</w:t>
      </w:r>
      <w:r w:rsidRPr="00534573">
        <w:rPr>
          <w:rFonts w:eastAsia="Calibri"/>
          <w:sz w:val="24"/>
          <w:szCs w:val="24"/>
        </w:rPr>
        <w:t xml:space="preserve"> schools will be reimbursed at their usual reimbursement rates, including the 2 cent lunch differential and severe need breakfast rates, if applicable.  </w:t>
      </w:r>
      <w:r w:rsidR="00E044B4" w:rsidRPr="00534573">
        <w:rPr>
          <w:rFonts w:eastAsia="Calibri"/>
          <w:sz w:val="24"/>
          <w:szCs w:val="24"/>
        </w:rPr>
        <w:t>Also, if the schools have been certified for the additional six cents, they would receive that</w:t>
      </w:r>
      <w:r w:rsidR="00710FA2">
        <w:rPr>
          <w:rFonts w:eastAsia="Calibri"/>
          <w:sz w:val="24"/>
          <w:szCs w:val="24"/>
        </w:rPr>
        <w:t xml:space="preserve"> additional</w:t>
      </w:r>
      <w:r w:rsidR="00E044B4" w:rsidRPr="00534573">
        <w:rPr>
          <w:rFonts w:eastAsia="Calibri"/>
          <w:sz w:val="24"/>
          <w:szCs w:val="24"/>
        </w:rPr>
        <w:t xml:space="preserve"> reimbursement.  </w:t>
      </w:r>
    </w:p>
    <w:p w:rsidR="00E40EC0" w:rsidRPr="00534573" w:rsidRDefault="00E40EC0" w:rsidP="00835F2F">
      <w:pPr>
        <w:rPr>
          <w:rFonts w:eastAsia="Calibri"/>
          <w:sz w:val="24"/>
          <w:szCs w:val="24"/>
        </w:rPr>
      </w:pPr>
    </w:p>
    <w:p w:rsidR="00E40EC0" w:rsidRPr="00534573" w:rsidRDefault="00E40EC0" w:rsidP="00835F2F">
      <w:pPr>
        <w:numPr>
          <w:ilvl w:val="0"/>
          <w:numId w:val="27"/>
        </w:numPr>
        <w:contextualSpacing/>
        <w:rPr>
          <w:rFonts w:eastAsia="Calibri"/>
          <w:sz w:val="24"/>
          <w:szCs w:val="24"/>
        </w:rPr>
      </w:pPr>
      <w:r w:rsidRPr="00534573">
        <w:rPr>
          <w:rFonts w:eastAsia="Calibri"/>
          <w:b/>
          <w:sz w:val="24"/>
          <w:szCs w:val="24"/>
        </w:rPr>
        <w:t>Will the 1.6 multiplier change?</w:t>
      </w:r>
    </w:p>
    <w:p w:rsidR="006A1096" w:rsidRPr="00534573" w:rsidRDefault="00E40EC0" w:rsidP="00E044B4">
      <w:pPr>
        <w:spacing w:line="276" w:lineRule="auto"/>
        <w:ind w:left="360"/>
        <w:rPr>
          <w:rFonts w:eastAsia="Calibri"/>
          <w:sz w:val="24"/>
          <w:szCs w:val="24"/>
        </w:rPr>
      </w:pPr>
      <w:r w:rsidRPr="00534573">
        <w:rPr>
          <w:rFonts w:eastAsia="Calibri"/>
          <w:sz w:val="24"/>
          <w:szCs w:val="24"/>
        </w:rPr>
        <w:t xml:space="preserve">The law </w:t>
      </w:r>
      <w:r w:rsidR="00D60160" w:rsidRPr="00534573">
        <w:rPr>
          <w:rFonts w:eastAsia="Calibri"/>
          <w:sz w:val="24"/>
          <w:szCs w:val="24"/>
        </w:rPr>
        <w:t>s</w:t>
      </w:r>
      <w:r w:rsidR="00801C54" w:rsidRPr="00534573">
        <w:rPr>
          <w:rFonts w:eastAsia="Calibri"/>
          <w:sz w:val="24"/>
          <w:szCs w:val="24"/>
        </w:rPr>
        <w:t>tate</w:t>
      </w:r>
      <w:r w:rsidRPr="00534573">
        <w:rPr>
          <w:rFonts w:eastAsia="Calibri"/>
          <w:sz w:val="24"/>
          <w:szCs w:val="24"/>
        </w:rPr>
        <w:t xml:space="preserve">s that the </w:t>
      </w:r>
      <w:r w:rsidR="00AD5D6E" w:rsidRPr="00534573">
        <w:rPr>
          <w:rFonts w:eastAsia="Calibri"/>
          <w:sz w:val="24"/>
          <w:szCs w:val="24"/>
        </w:rPr>
        <w:t xml:space="preserve">multiplier is 1.6 through </w:t>
      </w:r>
      <w:r w:rsidR="00BA3DCC">
        <w:rPr>
          <w:rFonts w:eastAsia="Calibri"/>
          <w:sz w:val="24"/>
          <w:szCs w:val="24"/>
        </w:rPr>
        <w:t>school year (</w:t>
      </w:r>
      <w:r w:rsidR="00AD5D6E" w:rsidRPr="00534573">
        <w:rPr>
          <w:rFonts w:eastAsia="Calibri"/>
          <w:sz w:val="24"/>
          <w:szCs w:val="24"/>
        </w:rPr>
        <w:t>S</w:t>
      </w:r>
      <w:r w:rsidRPr="00534573">
        <w:rPr>
          <w:rFonts w:eastAsia="Calibri"/>
          <w:sz w:val="24"/>
          <w:szCs w:val="24"/>
        </w:rPr>
        <w:t>Y</w:t>
      </w:r>
      <w:r w:rsidR="00BA3DCC">
        <w:rPr>
          <w:rFonts w:eastAsia="Calibri"/>
          <w:sz w:val="24"/>
          <w:szCs w:val="24"/>
        </w:rPr>
        <w:t>)</w:t>
      </w:r>
      <w:r w:rsidRPr="00534573">
        <w:rPr>
          <w:rFonts w:eastAsia="Calibri"/>
          <w:sz w:val="24"/>
          <w:szCs w:val="24"/>
        </w:rPr>
        <w:t xml:space="preserve"> 2013-2014 (July 1, 2013 through June 30, 2014).  After that time, FNS is permitted to change the multiplier to a number between 1.3 and 1.6.  </w:t>
      </w:r>
      <w:r w:rsidR="007A25FE" w:rsidRPr="00534573">
        <w:rPr>
          <w:rFonts w:eastAsia="Calibri"/>
          <w:sz w:val="24"/>
          <w:szCs w:val="24"/>
        </w:rPr>
        <w:t>I</w:t>
      </w:r>
      <w:r w:rsidR="00D60160" w:rsidRPr="00534573">
        <w:rPr>
          <w:rFonts w:eastAsia="Calibri"/>
          <w:sz w:val="24"/>
          <w:szCs w:val="24"/>
        </w:rPr>
        <w:t>f</w:t>
      </w:r>
      <w:r w:rsidR="007A25FE" w:rsidRPr="00534573">
        <w:rPr>
          <w:rFonts w:eastAsia="Calibri"/>
          <w:sz w:val="24"/>
          <w:szCs w:val="24"/>
        </w:rPr>
        <w:t xml:space="preserve"> the multiplier is changed, s</w:t>
      </w:r>
      <w:r w:rsidRPr="00534573">
        <w:rPr>
          <w:rFonts w:eastAsia="Calibri"/>
          <w:sz w:val="24"/>
          <w:szCs w:val="24"/>
        </w:rPr>
        <w:t xml:space="preserve">chools electing the </w:t>
      </w:r>
      <w:r w:rsidR="00A03DE9" w:rsidRPr="00534573">
        <w:rPr>
          <w:rFonts w:eastAsia="Calibri"/>
          <w:sz w:val="24"/>
          <w:szCs w:val="24"/>
        </w:rPr>
        <w:t>CEP</w:t>
      </w:r>
      <w:r w:rsidRPr="00534573">
        <w:rPr>
          <w:rFonts w:eastAsia="Calibri"/>
          <w:sz w:val="24"/>
          <w:szCs w:val="24"/>
        </w:rPr>
        <w:t xml:space="preserve"> will keep the</w:t>
      </w:r>
      <w:r w:rsidR="00AD5D6E" w:rsidRPr="00534573">
        <w:rPr>
          <w:rFonts w:eastAsia="Calibri"/>
          <w:sz w:val="24"/>
          <w:szCs w:val="24"/>
        </w:rPr>
        <w:t xml:space="preserve"> same multiplier for </w:t>
      </w:r>
      <w:r w:rsidR="007A25FE" w:rsidRPr="00534573">
        <w:rPr>
          <w:rFonts w:eastAsia="Calibri"/>
          <w:sz w:val="24"/>
          <w:szCs w:val="24"/>
        </w:rPr>
        <w:t xml:space="preserve">their </w:t>
      </w:r>
      <w:r w:rsidR="00AD5D6E" w:rsidRPr="00534573">
        <w:rPr>
          <w:rFonts w:eastAsia="Calibri"/>
          <w:sz w:val="24"/>
          <w:szCs w:val="24"/>
        </w:rPr>
        <w:t>entire four</w:t>
      </w:r>
      <w:r w:rsidRPr="00534573">
        <w:rPr>
          <w:rFonts w:eastAsia="Calibri"/>
          <w:sz w:val="24"/>
          <w:szCs w:val="24"/>
        </w:rPr>
        <w:t>-year cycle and do not have to implement changes to the multiplier until the</w:t>
      </w:r>
      <w:r w:rsidR="007A25FE" w:rsidRPr="00534573">
        <w:rPr>
          <w:rFonts w:eastAsia="Calibri"/>
          <w:sz w:val="24"/>
          <w:szCs w:val="24"/>
        </w:rPr>
        <w:t>ir</w:t>
      </w:r>
      <w:r w:rsidRPr="00534573">
        <w:rPr>
          <w:rFonts w:eastAsia="Calibri"/>
          <w:sz w:val="24"/>
          <w:szCs w:val="24"/>
        </w:rPr>
        <w:t xml:space="preserve"> next cycle if the </w:t>
      </w:r>
      <w:r w:rsidR="00A03DE9" w:rsidRPr="00534573">
        <w:rPr>
          <w:rFonts w:eastAsia="Calibri"/>
          <w:sz w:val="24"/>
          <w:szCs w:val="24"/>
        </w:rPr>
        <w:t>CEP</w:t>
      </w:r>
      <w:r w:rsidRPr="00534573">
        <w:rPr>
          <w:rFonts w:eastAsia="Calibri"/>
          <w:sz w:val="24"/>
          <w:szCs w:val="24"/>
        </w:rPr>
        <w:t xml:space="preserve"> is elected again. </w:t>
      </w:r>
      <w:r w:rsidR="00C33DC3">
        <w:rPr>
          <w:rFonts w:eastAsia="Calibri"/>
          <w:sz w:val="24"/>
          <w:szCs w:val="24"/>
        </w:rPr>
        <w:t>FNS will not be making a change to the multiplier for SY 2014-</w:t>
      </w:r>
      <w:r w:rsidR="00BA3DCC">
        <w:rPr>
          <w:rFonts w:eastAsia="Calibri"/>
          <w:sz w:val="24"/>
          <w:szCs w:val="24"/>
        </w:rPr>
        <w:t>20</w:t>
      </w:r>
      <w:r w:rsidR="00C33DC3">
        <w:rPr>
          <w:rFonts w:eastAsia="Calibri"/>
          <w:sz w:val="24"/>
          <w:szCs w:val="24"/>
        </w:rPr>
        <w:t xml:space="preserve">15.  </w:t>
      </w:r>
      <w:r w:rsidR="00E044B4" w:rsidRPr="00534573">
        <w:rPr>
          <w:rFonts w:eastAsia="Calibri"/>
          <w:sz w:val="24"/>
          <w:szCs w:val="24"/>
        </w:rPr>
        <w:t>Any change to the multiplier</w:t>
      </w:r>
      <w:r w:rsidR="00AD694A" w:rsidRPr="00534573">
        <w:rPr>
          <w:rFonts w:eastAsia="Calibri"/>
          <w:sz w:val="24"/>
          <w:szCs w:val="24"/>
        </w:rPr>
        <w:t xml:space="preserve"> </w:t>
      </w:r>
      <w:r w:rsidR="00E044B4" w:rsidRPr="00534573">
        <w:rPr>
          <w:rFonts w:eastAsia="Calibri"/>
          <w:sz w:val="24"/>
          <w:szCs w:val="24"/>
        </w:rPr>
        <w:t>factor would be communicated in</w:t>
      </w:r>
      <w:r w:rsidR="00AD694A" w:rsidRPr="00534573">
        <w:rPr>
          <w:rFonts w:eastAsia="Calibri"/>
          <w:sz w:val="24"/>
          <w:szCs w:val="24"/>
        </w:rPr>
        <w:t xml:space="preserve"> advance of </w:t>
      </w:r>
      <w:r w:rsidR="00E044B4" w:rsidRPr="00534573">
        <w:rPr>
          <w:rFonts w:eastAsia="Calibri"/>
          <w:sz w:val="24"/>
          <w:szCs w:val="24"/>
        </w:rPr>
        <w:t>implementation, through the</w:t>
      </w:r>
      <w:r w:rsidR="00AD694A" w:rsidRPr="00534573">
        <w:rPr>
          <w:rFonts w:eastAsia="Calibri"/>
          <w:sz w:val="24"/>
          <w:szCs w:val="24"/>
        </w:rPr>
        <w:t xml:space="preserve"> </w:t>
      </w:r>
      <w:r w:rsidR="00E044B4" w:rsidRPr="00534573">
        <w:rPr>
          <w:rFonts w:eastAsia="Calibri"/>
          <w:bCs/>
          <w:i/>
          <w:sz w:val="24"/>
          <w:szCs w:val="24"/>
        </w:rPr>
        <w:t>Federal Register</w:t>
      </w:r>
      <w:r w:rsidR="00E044B4" w:rsidRPr="00534573">
        <w:rPr>
          <w:rFonts w:eastAsia="Calibri"/>
          <w:sz w:val="24"/>
          <w:szCs w:val="24"/>
        </w:rPr>
        <w:t>.</w:t>
      </w:r>
      <w:r w:rsidR="00710FA2">
        <w:rPr>
          <w:rFonts w:eastAsia="Calibri"/>
          <w:sz w:val="24"/>
          <w:szCs w:val="24"/>
        </w:rPr>
        <w:t xml:space="preserve"> </w:t>
      </w:r>
    </w:p>
    <w:p w:rsidR="00835F2F" w:rsidRPr="00534573" w:rsidRDefault="00835F2F" w:rsidP="00835F2F">
      <w:pPr>
        <w:ind w:left="360"/>
        <w:rPr>
          <w:rFonts w:eastAsia="Calibri"/>
          <w:sz w:val="24"/>
          <w:szCs w:val="24"/>
        </w:rPr>
      </w:pPr>
    </w:p>
    <w:p w:rsidR="00835F2F" w:rsidRPr="00534573" w:rsidRDefault="00835F2F" w:rsidP="00835F2F">
      <w:pPr>
        <w:numPr>
          <w:ilvl w:val="0"/>
          <w:numId w:val="27"/>
        </w:numPr>
        <w:contextualSpacing/>
        <w:rPr>
          <w:rFonts w:eastAsia="Calibri"/>
          <w:sz w:val="24"/>
          <w:szCs w:val="24"/>
        </w:rPr>
      </w:pPr>
      <w:r w:rsidRPr="00534573">
        <w:rPr>
          <w:rFonts w:eastAsia="Calibri"/>
          <w:b/>
          <w:sz w:val="24"/>
          <w:szCs w:val="24"/>
        </w:rPr>
        <w:t>How will area eligibility</w:t>
      </w:r>
      <w:r w:rsidR="007257A1" w:rsidRPr="00534573">
        <w:rPr>
          <w:rFonts w:eastAsia="Calibri"/>
          <w:b/>
          <w:sz w:val="24"/>
          <w:szCs w:val="24"/>
        </w:rPr>
        <w:t xml:space="preserve"> percentages be determined for</w:t>
      </w:r>
      <w:r w:rsidRPr="00534573">
        <w:rPr>
          <w:rFonts w:eastAsia="Calibri"/>
          <w:b/>
          <w:sz w:val="24"/>
          <w:szCs w:val="24"/>
        </w:rPr>
        <w:t xml:space="preserve"> </w:t>
      </w:r>
      <w:r w:rsidR="00A03DE9" w:rsidRPr="00534573">
        <w:rPr>
          <w:rFonts w:eastAsia="Calibri"/>
          <w:b/>
          <w:sz w:val="24"/>
          <w:szCs w:val="24"/>
        </w:rPr>
        <w:t>CEP</w:t>
      </w:r>
      <w:r w:rsidRPr="00534573">
        <w:rPr>
          <w:rFonts w:eastAsia="Calibri"/>
          <w:b/>
          <w:sz w:val="24"/>
          <w:szCs w:val="24"/>
        </w:rPr>
        <w:t xml:space="preserve"> schools?  </w:t>
      </w:r>
    </w:p>
    <w:p w:rsidR="006A1096" w:rsidRPr="00534573" w:rsidRDefault="00835F2F">
      <w:pPr>
        <w:spacing w:line="276" w:lineRule="auto"/>
        <w:ind w:left="360"/>
        <w:rPr>
          <w:rFonts w:eastAsia="Calibri"/>
          <w:sz w:val="24"/>
          <w:szCs w:val="24"/>
        </w:rPr>
      </w:pPr>
      <w:r w:rsidRPr="00534573">
        <w:rPr>
          <w:rFonts w:eastAsia="Calibri"/>
          <w:sz w:val="24"/>
          <w:szCs w:val="24"/>
        </w:rPr>
        <w:t>Since the 1.6 multiplier is intended to provide an estimate of the total number of students eligible for free and reduced price meals in eligible schools, the product of the</w:t>
      </w:r>
      <w:r w:rsidR="00451746">
        <w:rPr>
          <w:rFonts w:eastAsia="Calibri"/>
          <w:sz w:val="24"/>
          <w:szCs w:val="24"/>
        </w:rPr>
        <w:t xml:space="preserve"> </w:t>
      </w:r>
      <w:r w:rsidRPr="00534573">
        <w:rPr>
          <w:rFonts w:eastAsia="Calibri"/>
          <w:sz w:val="24"/>
          <w:szCs w:val="24"/>
        </w:rPr>
        <w:t xml:space="preserve">identified student percentage multiplied by 1.6 will be used for area eligibility purposes. </w:t>
      </w:r>
      <w:r w:rsidR="00616812">
        <w:rPr>
          <w:rFonts w:eastAsia="Calibri"/>
          <w:sz w:val="24"/>
          <w:szCs w:val="24"/>
        </w:rPr>
        <w:t xml:space="preserve"> </w:t>
      </w:r>
      <w:r w:rsidR="00616812" w:rsidRPr="00534573">
        <w:rPr>
          <w:rFonts w:eastAsia="Calibri"/>
          <w:sz w:val="24"/>
          <w:szCs w:val="24"/>
        </w:rPr>
        <w:t xml:space="preserve">Schools in </w:t>
      </w:r>
      <w:r w:rsidR="00616812">
        <w:rPr>
          <w:rFonts w:eastAsia="Calibri"/>
          <w:sz w:val="24"/>
          <w:szCs w:val="24"/>
        </w:rPr>
        <w:t>LEA</w:t>
      </w:r>
      <w:r w:rsidR="00616812" w:rsidRPr="00534573">
        <w:rPr>
          <w:rFonts w:eastAsia="Calibri"/>
          <w:sz w:val="24"/>
          <w:szCs w:val="24"/>
        </w:rPr>
        <w:t xml:space="preserve">s electing the CEP </w:t>
      </w:r>
      <w:r w:rsidR="009F5A1E">
        <w:rPr>
          <w:rFonts w:eastAsia="Calibri"/>
          <w:sz w:val="24"/>
          <w:szCs w:val="24"/>
        </w:rPr>
        <w:t xml:space="preserve">for the entire </w:t>
      </w:r>
      <w:r w:rsidR="00616812">
        <w:rPr>
          <w:rFonts w:eastAsia="Calibri"/>
          <w:sz w:val="24"/>
          <w:szCs w:val="24"/>
        </w:rPr>
        <w:t>LEA</w:t>
      </w:r>
      <w:r w:rsidR="00616812" w:rsidRPr="00534573">
        <w:rPr>
          <w:rFonts w:eastAsia="Calibri"/>
          <w:sz w:val="24"/>
          <w:szCs w:val="24"/>
        </w:rPr>
        <w:t xml:space="preserve"> or as part of a group of schools electing the CEP with a shared identified student percentage must </w:t>
      </w:r>
      <w:r w:rsidR="009F5A1E">
        <w:rPr>
          <w:rFonts w:eastAsia="Calibri"/>
          <w:sz w:val="24"/>
          <w:szCs w:val="24"/>
        </w:rPr>
        <w:t xml:space="preserve">still </w:t>
      </w:r>
      <w:r w:rsidR="00616812" w:rsidRPr="00534573">
        <w:rPr>
          <w:rFonts w:eastAsia="Calibri"/>
          <w:sz w:val="24"/>
          <w:szCs w:val="24"/>
        </w:rPr>
        <w:t>use the individual school CEP percentage</w:t>
      </w:r>
      <w:r w:rsidR="00616812">
        <w:rPr>
          <w:rFonts w:eastAsia="Calibri"/>
          <w:sz w:val="24"/>
          <w:szCs w:val="24"/>
        </w:rPr>
        <w:t>.</w:t>
      </w:r>
      <w:r w:rsidRPr="00534573">
        <w:rPr>
          <w:rFonts w:eastAsia="Calibri"/>
          <w:sz w:val="24"/>
          <w:szCs w:val="24"/>
        </w:rPr>
        <w:t xml:space="preserve"> These percentages can be used for determining area eligibility in the Summer Food Service Program, Seamless Summer, Child and Adult Care Food Program</w:t>
      </w:r>
      <w:r w:rsidR="00172CE3" w:rsidRPr="00534573">
        <w:rPr>
          <w:rFonts w:eastAsia="Calibri"/>
          <w:sz w:val="24"/>
          <w:szCs w:val="24"/>
        </w:rPr>
        <w:t xml:space="preserve"> (CACFP)</w:t>
      </w:r>
      <w:r w:rsidRPr="00534573">
        <w:rPr>
          <w:rFonts w:eastAsia="Calibri"/>
          <w:sz w:val="24"/>
          <w:szCs w:val="24"/>
        </w:rPr>
        <w:t xml:space="preserve"> at-risk afterschool snacks, CACFP tiering, and afterschool snacks through t</w:t>
      </w:r>
      <w:r w:rsidR="00AD5D6E" w:rsidRPr="00534573">
        <w:rPr>
          <w:rFonts w:eastAsia="Calibri"/>
          <w:sz w:val="24"/>
          <w:szCs w:val="24"/>
        </w:rPr>
        <w:t>he NSLP</w:t>
      </w:r>
      <w:r w:rsidRPr="00534573">
        <w:rPr>
          <w:rFonts w:eastAsia="Calibri"/>
          <w:sz w:val="24"/>
          <w:szCs w:val="24"/>
        </w:rPr>
        <w:t xml:space="preserve">.   </w:t>
      </w:r>
    </w:p>
    <w:p w:rsidR="0064321A" w:rsidRPr="00534573" w:rsidRDefault="0064321A">
      <w:pPr>
        <w:spacing w:line="276" w:lineRule="auto"/>
        <w:ind w:left="360"/>
        <w:rPr>
          <w:rFonts w:eastAsia="Calibri"/>
          <w:sz w:val="24"/>
          <w:szCs w:val="24"/>
        </w:rPr>
      </w:pPr>
    </w:p>
    <w:p w:rsidR="0064321A" w:rsidRPr="00534573" w:rsidRDefault="0064321A" w:rsidP="0064321A">
      <w:pPr>
        <w:pStyle w:val="ListParagraph"/>
        <w:numPr>
          <w:ilvl w:val="0"/>
          <w:numId w:val="27"/>
        </w:numPr>
        <w:spacing w:line="276" w:lineRule="auto"/>
        <w:rPr>
          <w:rFonts w:ascii="Times New Roman" w:hAnsi="Times New Roman"/>
          <w:b/>
          <w:sz w:val="24"/>
          <w:szCs w:val="24"/>
        </w:rPr>
      </w:pPr>
      <w:r w:rsidRPr="00534573">
        <w:rPr>
          <w:rFonts w:ascii="Times New Roman" w:hAnsi="Times New Roman"/>
          <w:b/>
          <w:sz w:val="24"/>
          <w:szCs w:val="24"/>
        </w:rPr>
        <w:t>How are Fresh Fruit and Vegetable Program (FFVP) award determination</w:t>
      </w:r>
      <w:r w:rsidR="00D26656" w:rsidRPr="00534573">
        <w:rPr>
          <w:rFonts w:ascii="Times New Roman" w:hAnsi="Times New Roman"/>
          <w:b/>
          <w:sz w:val="24"/>
          <w:szCs w:val="24"/>
        </w:rPr>
        <w:t>s</w:t>
      </w:r>
      <w:r w:rsidRPr="00534573">
        <w:rPr>
          <w:rFonts w:ascii="Times New Roman" w:hAnsi="Times New Roman"/>
          <w:b/>
          <w:sz w:val="24"/>
          <w:szCs w:val="24"/>
        </w:rPr>
        <w:t xml:space="preserve"> made for </w:t>
      </w:r>
      <w:r w:rsidR="00A03DE9" w:rsidRPr="00534573">
        <w:rPr>
          <w:rFonts w:ascii="Times New Roman" w:hAnsi="Times New Roman"/>
          <w:b/>
          <w:sz w:val="24"/>
          <w:szCs w:val="24"/>
        </w:rPr>
        <w:t>CEP</w:t>
      </w:r>
      <w:r w:rsidRPr="00534573">
        <w:rPr>
          <w:rFonts w:ascii="Times New Roman" w:hAnsi="Times New Roman"/>
          <w:b/>
          <w:sz w:val="24"/>
          <w:szCs w:val="24"/>
        </w:rPr>
        <w:t xml:space="preserve"> schools?</w:t>
      </w:r>
    </w:p>
    <w:p w:rsidR="007C30BE" w:rsidRDefault="006B521A" w:rsidP="0064321A">
      <w:pPr>
        <w:spacing w:line="276" w:lineRule="auto"/>
        <w:ind w:left="360"/>
        <w:rPr>
          <w:rFonts w:eastAsia="Calibri"/>
          <w:sz w:val="24"/>
          <w:szCs w:val="24"/>
        </w:rPr>
      </w:pPr>
      <w:r w:rsidRPr="00534573">
        <w:rPr>
          <w:rFonts w:eastAsia="Calibri"/>
          <w:sz w:val="24"/>
          <w:szCs w:val="24"/>
        </w:rPr>
        <w:t xml:space="preserve">Since the 1.6 multiplier is intended to provide an estimate of the total number of students eligible for free and reduced price meals in eligible schools, the product of the identified student percentage multiplied by 1.6 will be used for </w:t>
      </w:r>
      <w:r w:rsidR="0064321A" w:rsidRPr="00534573">
        <w:rPr>
          <w:rFonts w:eastAsia="Calibri"/>
          <w:sz w:val="24"/>
          <w:szCs w:val="24"/>
        </w:rPr>
        <w:t xml:space="preserve">the purposes of awarding FFVP funds.  </w:t>
      </w:r>
    </w:p>
    <w:p w:rsidR="0064321A" w:rsidRPr="00534573" w:rsidRDefault="0064321A" w:rsidP="0064321A">
      <w:pPr>
        <w:spacing w:line="276" w:lineRule="auto"/>
        <w:ind w:left="360"/>
        <w:rPr>
          <w:rFonts w:eastAsia="Calibri"/>
          <w:sz w:val="24"/>
          <w:szCs w:val="24"/>
        </w:rPr>
      </w:pPr>
      <w:r w:rsidRPr="00534573">
        <w:rPr>
          <w:rFonts w:eastAsia="Calibri"/>
          <w:sz w:val="24"/>
          <w:szCs w:val="24"/>
        </w:rPr>
        <w:t xml:space="preserve">Schools in </w:t>
      </w:r>
      <w:r w:rsidR="00082273">
        <w:rPr>
          <w:rFonts w:eastAsia="Calibri"/>
          <w:sz w:val="24"/>
          <w:szCs w:val="24"/>
        </w:rPr>
        <w:t>LEA</w:t>
      </w:r>
      <w:r w:rsidR="00082273" w:rsidRPr="00534573">
        <w:rPr>
          <w:rFonts w:eastAsia="Calibri"/>
          <w:sz w:val="24"/>
          <w:szCs w:val="24"/>
        </w:rPr>
        <w:t xml:space="preserve">s </w:t>
      </w:r>
      <w:r w:rsidRPr="00534573">
        <w:rPr>
          <w:rFonts w:eastAsia="Calibri"/>
          <w:sz w:val="24"/>
          <w:szCs w:val="24"/>
        </w:rPr>
        <w:t xml:space="preserve">electing the </w:t>
      </w:r>
      <w:r w:rsidR="00A03DE9" w:rsidRPr="00534573">
        <w:rPr>
          <w:rFonts w:eastAsia="Calibri"/>
          <w:sz w:val="24"/>
          <w:szCs w:val="24"/>
        </w:rPr>
        <w:t>CEP</w:t>
      </w:r>
      <w:r w:rsidRPr="00534573">
        <w:rPr>
          <w:rFonts w:eastAsia="Calibri"/>
          <w:sz w:val="24"/>
          <w:szCs w:val="24"/>
        </w:rPr>
        <w:t xml:space="preserve"> </w:t>
      </w:r>
      <w:r w:rsidR="009F5A1E">
        <w:rPr>
          <w:rFonts w:eastAsia="Calibri"/>
          <w:sz w:val="24"/>
          <w:szCs w:val="24"/>
        </w:rPr>
        <w:t xml:space="preserve">for the entire </w:t>
      </w:r>
      <w:r w:rsidR="00082273">
        <w:rPr>
          <w:rFonts w:eastAsia="Calibri"/>
          <w:sz w:val="24"/>
          <w:szCs w:val="24"/>
        </w:rPr>
        <w:t>LEA</w:t>
      </w:r>
      <w:r w:rsidR="00082273" w:rsidRPr="00534573">
        <w:rPr>
          <w:rFonts w:eastAsia="Calibri"/>
          <w:sz w:val="24"/>
          <w:szCs w:val="24"/>
        </w:rPr>
        <w:t xml:space="preserve"> </w:t>
      </w:r>
      <w:r w:rsidRPr="00534573">
        <w:rPr>
          <w:rFonts w:eastAsia="Calibri"/>
          <w:sz w:val="24"/>
          <w:szCs w:val="24"/>
        </w:rPr>
        <w:t xml:space="preserve">or as part of a group of schools electing the </w:t>
      </w:r>
      <w:r w:rsidR="00A03DE9" w:rsidRPr="00534573">
        <w:rPr>
          <w:rFonts w:eastAsia="Calibri"/>
          <w:sz w:val="24"/>
          <w:szCs w:val="24"/>
        </w:rPr>
        <w:t>CEP</w:t>
      </w:r>
      <w:r w:rsidRPr="00534573">
        <w:rPr>
          <w:rFonts w:eastAsia="Calibri"/>
          <w:sz w:val="24"/>
          <w:szCs w:val="24"/>
        </w:rPr>
        <w:t xml:space="preserve"> with a shared identified student percentage must </w:t>
      </w:r>
      <w:r w:rsidR="009F5A1E">
        <w:rPr>
          <w:rFonts w:eastAsia="Calibri"/>
          <w:sz w:val="24"/>
          <w:szCs w:val="24"/>
        </w:rPr>
        <w:t xml:space="preserve">still </w:t>
      </w:r>
      <w:r w:rsidRPr="00534573">
        <w:rPr>
          <w:rFonts w:eastAsia="Calibri"/>
          <w:sz w:val="24"/>
          <w:szCs w:val="24"/>
        </w:rPr>
        <w:t xml:space="preserve">use the individual school </w:t>
      </w:r>
      <w:r w:rsidR="00A03DE9" w:rsidRPr="00534573">
        <w:rPr>
          <w:rFonts w:eastAsia="Calibri"/>
          <w:sz w:val="24"/>
          <w:szCs w:val="24"/>
        </w:rPr>
        <w:t>CEP</w:t>
      </w:r>
      <w:r w:rsidRPr="00534573">
        <w:rPr>
          <w:rFonts w:eastAsia="Calibri"/>
          <w:sz w:val="24"/>
          <w:szCs w:val="24"/>
        </w:rPr>
        <w:t xml:space="preserve"> percentage for purposes of awarding FFVP funds.</w:t>
      </w:r>
    </w:p>
    <w:p w:rsidR="00CD367B" w:rsidRPr="00534573" w:rsidRDefault="00CD367B" w:rsidP="0065497A">
      <w:pPr>
        <w:tabs>
          <w:tab w:val="left" w:pos="5625"/>
        </w:tabs>
        <w:ind w:left="360"/>
        <w:rPr>
          <w:rFonts w:eastAsia="Calibri"/>
          <w:sz w:val="24"/>
          <w:szCs w:val="24"/>
        </w:rPr>
      </w:pPr>
    </w:p>
    <w:p w:rsidR="00E55966" w:rsidRPr="00710FA2" w:rsidRDefault="00E55966" w:rsidP="00E55966">
      <w:pPr>
        <w:pBdr>
          <w:top w:val="single" w:sz="4" w:space="1" w:color="auto"/>
          <w:left w:val="single" w:sz="4" w:space="4" w:color="auto"/>
          <w:bottom w:val="single" w:sz="4" w:space="1" w:color="auto"/>
          <w:right w:val="single" w:sz="4" w:space="4" w:color="auto"/>
        </w:pBdr>
        <w:jc w:val="center"/>
        <w:rPr>
          <w:rFonts w:eastAsia="Calibri"/>
          <w:b/>
          <w:sz w:val="24"/>
          <w:szCs w:val="24"/>
        </w:rPr>
      </w:pPr>
      <w:r w:rsidRPr="00710FA2">
        <w:rPr>
          <w:rFonts w:eastAsia="Calibri"/>
          <w:b/>
          <w:sz w:val="24"/>
          <w:szCs w:val="24"/>
        </w:rPr>
        <w:t>Verification</w:t>
      </w:r>
    </w:p>
    <w:p w:rsidR="00AD5B5A" w:rsidRPr="00710FA2" w:rsidRDefault="00AD5B5A" w:rsidP="00835F2F">
      <w:pPr>
        <w:rPr>
          <w:iCs/>
          <w:sz w:val="24"/>
          <w:szCs w:val="24"/>
        </w:rPr>
      </w:pPr>
    </w:p>
    <w:p w:rsidR="00E55966" w:rsidRPr="00710FA2" w:rsidRDefault="00E55966" w:rsidP="00E55966">
      <w:pPr>
        <w:numPr>
          <w:ilvl w:val="0"/>
          <w:numId w:val="27"/>
        </w:numPr>
        <w:contextualSpacing/>
        <w:rPr>
          <w:rFonts w:eastAsia="Calibri"/>
          <w:sz w:val="24"/>
          <w:szCs w:val="24"/>
        </w:rPr>
      </w:pPr>
      <w:r w:rsidRPr="00710FA2">
        <w:rPr>
          <w:rFonts w:eastAsia="Calibri"/>
          <w:b/>
          <w:sz w:val="24"/>
          <w:szCs w:val="24"/>
        </w:rPr>
        <w:t xml:space="preserve">Do LEAs and schools electing the </w:t>
      </w:r>
      <w:r w:rsidR="00A03DE9" w:rsidRPr="00710FA2">
        <w:rPr>
          <w:rFonts w:eastAsia="Calibri"/>
          <w:b/>
          <w:sz w:val="24"/>
          <w:szCs w:val="24"/>
        </w:rPr>
        <w:t>CEP</w:t>
      </w:r>
      <w:r w:rsidRPr="00710FA2">
        <w:rPr>
          <w:rFonts w:eastAsia="Calibri"/>
          <w:b/>
          <w:sz w:val="24"/>
          <w:szCs w:val="24"/>
        </w:rPr>
        <w:t xml:space="preserve"> conduct verification?</w:t>
      </w:r>
    </w:p>
    <w:p w:rsidR="006A1096" w:rsidRPr="00710FA2" w:rsidRDefault="00E55966">
      <w:pPr>
        <w:spacing w:line="276" w:lineRule="auto"/>
        <w:ind w:left="360"/>
        <w:contextualSpacing/>
        <w:rPr>
          <w:rFonts w:eastAsia="Calibri"/>
          <w:sz w:val="24"/>
          <w:szCs w:val="24"/>
        </w:rPr>
      </w:pPr>
      <w:r w:rsidRPr="00710FA2">
        <w:rPr>
          <w:rFonts w:eastAsia="Calibri"/>
          <w:sz w:val="24"/>
          <w:szCs w:val="24"/>
        </w:rPr>
        <w:t xml:space="preserve">No, since applications are not collected, LEAs are exempt from verification for the schools electing </w:t>
      </w:r>
      <w:r w:rsidR="00A03DE9" w:rsidRPr="00710FA2">
        <w:rPr>
          <w:rFonts w:eastAsia="Calibri"/>
          <w:sz w:val="24"/>
          <w:szCs w:val="24"/>
        </w:rPr>
        <w:t>CEP</w:t>
      </w:r>
      <w:r w:rsidRPr="00710FA2">
        <w:rPr>
          <w:rFonts w:eastAsia="Calibri"/>
          <w:sz w:val="24"/>
          <w:szCs w:val="24"/>
        </w:rPr>
        <w:t xml:space="preserve">. </w:t>
      </w:r>
      <w:r w:rsidR="00854905" w:rsidRPr="00710FA2">
        <w:rPr>
          <w:rFonts w:eastAsia="Calibri"/>
          <w:sz w:val="24"/>
          <w:szCs w:val="24"/>
        </w:rPr>
        <w:t xml:space="preserve"> </w:t>
      </w:r>
      <w:r w:rsidRPr="00710FA2">
        <w:rPr>
          <w:rFonts w:eastAsia="Calibri"/>
          <w:sz w:val="24"/>
          <w:szCs w:val="24"/>
        </w:rPr>
        <w:t>LEAs with some</w:t>
      </w:r>
      <w:r w:rsidR="00BA3DCC">
        <w:rPr>
          <w:rFonts w:eastAsia="Calibri"/>
          <w:sz w:val="24"/>
          <w:szCs w:val="24"/>
        </w:rPr>
        <w:t>,</w:t>
      </w:r>
      <w:r w:rsidRPr="00710FA2">
        <w:rPr>
          <w:rFonts w:eastAsia="Calibri"/>
          <w:sz w:val="24"/>
          <w:szCs w:val="24"/>
        </w:rPr>
        <w:t xml:space="preserve"> but not all schools electing the </w:t>
      </w:r>
      <w:r w:rsidR="00A03DE9" w:rsidRPr="00710FA2">
        <w:rPr>
          <w:rFonts w:eastAsia="Calibri"/>
          <w:sz w:val="24"/>
          <w:szCs w:val="24"/>
        </w:rPr>
        <w:t>CEP</w:t>
      </w:r>
      <w:r w:rsidRPr="00710FA2">
        <w:rPr>
          <w:rFonts w:eastAsia="Calibri"/>
          <w:sz w:val="24"/>
          <w:szCs w:val="24"/>
        </w:rPr>
        <w:t xml:space="preserve"> must still conduct verification in the schools not electing the </w:t>
      </w:r>
      <w:r w:rsidR="00A03DE9" w:rsidRPr="00710FA2">
        <w:rPr>
          <w:rFonts w:eastAsia="Calibri"/>
          <w:sz w:val="24"/>
          <w:szCs w:val="24"/>
        </w:rPr>
        <w:t>CEP</w:t>
      </w:r>
      <w:r w:rsidRPr="00710FA2">
        <w:rPr>
          <w:rFonts w:eastAsia="Calibri"/>
          <w:sz w:val="24"/>
          <w:szCs w:val="24"/>
        </w:rPr>
        <w:t>.</w:t>
      </w:r>
    </w:p>
    <w:p w:rsidR="007257A1" w:rsidRPr="00710FA2" w:rsidRDefault="007257A1" w:rsidP="00E55966">
      <w:pPr>
        <w:ind w:left="360"/>
        <w:contextualSpacing/>
        <w:rPr>
          <w:rFonts w:eastAsia="Calibri"/>
          <w:sz w:val="24"/>
          <w:szCs w:val="24"/>
        </w:rPr>
      </w:pPr>
    </w:p>
    <w:p w:rsidR="0078564A" w:rsidRDefault="0078564A" w:rsidP="0078564A">
      <w:pPr>
        <w:tabs>
          <w:tab w:val="left" w:pos="5625"/>
        </w:tabs>
        <w:ind w:left="360"/>
        <w:rPr>
          <w:rFonts w:eastAsia="Calibri"/>
          <w:sz w:val="24"/>
          <w:szCs w:val="24"/>
        </w:rPr>
      </w:pPr>
    </w:p>
    <w:p w:rsidR="0078564A" w:rsidRPr="00710FA2" w:rsidRDefault="0078564A" w:rsidP="00F827A9">
      <w:pPr>
        <w:pBdr>
          <w:top w:val="single" w:sz="4" w:space="2" w:color="auto"/>
          <w:left w:val="single" w:sz="4" w:space="4" w:color="auto"/>
          <w:bottom w:val="single" w:sz="4" w:space="1" w:color="auto"/>
          <w:right w:val="single" w:sz="4" w:space="4" w:color="auto"/>
        </w:pBdr>
        <w:jc w:val="center"/>
        <w:rPr>
          <w:rFonts w:eastAsia="Calibri"/>
          <w:b/>
          <w:sz w:val="24"/>
          <w:szCs w:val="24"/>
        </w:rPr>
      </w:pPr>
      <w:r>
        <w:rPr>
          <w:rFonts w:eastAsia="Calibri"/>
          <w:b/>
          <w:sz w:val="24"/>
          <w:szCs w:val="24"/>
        </w:rPr>
        <w:t>Reporting the Data</w:t>
      </w:r>
    </w:p>
    <w:p w:rsidR="00CC2F6A" w:rsidRDefault="00CC2F6A" w:rsidP="00252025">
      <w:pPr>
        <w:rPr>
          <w:rFonts w:eastAsia="Calibri"/>
          <w:sz w:val="24"/>
          <w:szCs w:val="24"/>
        </w:rPr>
      </w:pPr>
    </w:p>
    <w:p w:rsidR="0078564A" w:rsidRPr="008A400C" w:rsidRDefault="0078564A" w:rsidP="008A400C">
      <w:pPr>
        <w:numPr>
          <w:ilvl w:val="0"/>
          <w:numId w:val="27"/>
        </w:numPr>
        <w:rPr>
          <w:rFonts w:eastAsia="Calibri"/>
          <w:sz w:val="24"/>
          <w:szCs w:val="24"/>
        </w:rPr>
      </w:pPr>
      <w:r>
        <w:rPr>
          <w:rFonts w:eastAsia="Calibri"/>
          <w:b/>
          <w:sz w:val="24"/>
          <w:szCs w:val="24"/>
        </w:rPr>
        <w:t xml:space="preserve">How </w:t>
      </w:r>
      <w:r w:rsidR="00343D08">
        <w:rPr>
          <w:rFonts w:eastAsia="Calibri"/>
          <w:b/>
          <w:sz w:val="24"/>
          <w:szCs w:val="24"/>
        </w:rPr>
        <w:t>is</w:t>
      </w:r>
      <w:r>
        <w:rPr>
          <w:rFonts w:eastAsia="Calibri"/>
          <w:b/>
          <w:sz w:val="24"/>
          <w:szCs w:val="24"/>
        </w:rPr>
        <w:t xml:space="preserve"> CEP data </w:t>
      </w:r>
      <w:r w:rsidR="00343D08">
        <w:rPr>
          <w:rFonts w:eastAsia="Calibri"/>
          <w:b/>
          <w:sz w:val="24"/>
          <w:szCs w:val="24"/>
        </w:rPr>
        <w:t xml:space="preserve">reported </w:t>
      </w:r>
      <w:r>
        <w:rPr>
          <w:rFonts w:eastAsia="Calibri"/>
          <w:b/>
          <w:sz w:val="24"/>
          <w:szCs w:val="24"/>
        </w:rPr>
        <w:t xml:space="preserve">on the FNS 742? </w:t>
      </w:r>
    </w:p>
    <w:p w:rsidR="00A85B25" w:rsidRDefault="00A85B25" w:rsidP="0078564A">
      <w:pPr>
        <w:rPr>
          <w:rFonts w:eastAsia="Calibri"/>
          <w:sz w:val="24"/>
          <w:szCs w:val="24"/>
        </w:rPr>
      </w:pPr>
    </w:p>
    <w:p w:rsidR="00D865E9" w:rsidRPr="00BB2A3A" w:rsidRDefault="00D34C1D" w:rsidP="00D865E9">
      <w:pPr>
        <w:spacing w:after="120"/>
        <w:ind w:firstLine="720"/>
        <w:rPr>
          <w:sz w:val="24"/>
          <w:szCs w:val="24"/>
        </w:rPr>
      </w:pPr>
      <w:r>
        <w:rPr>
          <w:sz w:val="24"/>
          <w:szCs w:val="24"/>
        </w:rPr>
        <w:t xml:space="preserve">CEP schools and Provision 2/3 non-base year </w:t>
      </w:r>
      <w:r w:rsidR="00D865E9" w:rsidRPr="00BB2A3A">
        <w:rPr>
          <w:sz w:val="24"/>
          <w:szCs w:val="24"/>
        </w:rPr>
        <w:t>FNS-742 procedures for SFAs and States:</w:t>
      </w:r>
    </w:p>
    <w:p w:rsidR="00D865E9" w:rsidRPr="00BB2A3A" w:rsidRDefault="00D865E9" w:rsidP="00D865E9">
      <w:pPr>
        <w:pStyle w:val="ListParagraph"/>
        <w:numPr>
          <w:ilvl w:val="0"/>
          <w:numId w:val="39"/>
        </w:numPr>
        <w:spacing w:after="120"/>
        <w:ind w:left="1260"/>
        <w:contextualSpacing w:val="0"/>
        <w:rPr>
          <w:rFonts w:ascii="Times New Roman" w:hAnsi="Times New Roman"/>
          <w:sz w:val="24"/>
          <w:szCs w:val="24"/>
        </w:rPr>
      </w:pPr>
      <w:r w:rsidRPr="00BB2A3A">
        <w:rPr>
          <w:rFonts w:ascii="Times New Roman" w:hAnsi="Times New Roman"/>
          <w:sz w:val="24"/>
          <w:szCs w:val="24"/>
        </w:rPr>
        <w:t>Report in Sections 1 and 2 of the FNS-742 for all schools as applicable.</w:t>
      </w:r>
    </w:p>
    <w:p w:rsidR="00D865E9" w:rsidRPr="00BB2A3A" w:rsidRDefault="00D865E9" w:rsidP="00D865E9">
      <w:pPr>
        <w:pStyle w:val="ListParagraph"/>
        <w:numPr>
          <w:ilvl w:val="0"/>
          <w:numId w:val="39"/>
        </w:numPr>
        <w:spacing w:after="120"/>
        <w:ind w:left="1260" w:right="-270"/>
        <w:contextualSpacing w:val="0"/>
        <w:rPr>
          <w:rFonts w:ascii="Times New Roman" w:hAnsi="Times New Roman"/>
          <w:sz w:val="24"/>
          <w:szCs w:val="24"/>
        </w:rPr>
      </w:pPr>
      <w:r w:rsidRPr="00BB2A3A">
        <w:rPr>
          <w:rFonts w:ascii="Times New Roman" w:hAnsi="Times New Roman"/>
          <w:sz w:val="24"/>
          <w:szCs w:val="24"/>
        </w:rPr>
        <w:t xml:space="preserve">If </w:t>
      </w:r>
      <w:r w:rsidRPr="00BB2A3A">
        <w:rPr>
          <w:rFonts w:ascii="Times New Roman" w:hAnsi="Times New Roman"/>
          <w:sz w:val="24"/>
          <w:szCs w:val="24"/>
          <w:u w:val="single"/>
        </w:rPr>
        <w:t>all</w:t>
      </w:r>
      <w:r w:rsidRPr="00BB2A3A">
        <w:rPr>
          <w:rFonts w:ascii="Times New Roman" w:hAnsi="Times New Roman"/>
          <w:sz w:val="24"/>
          <w:szCs w:val="24"/>
        </w:rPr>
        <w:t xml:space="preserve"> schools in the LEA are participating in CEP, check box 3-1 and report “0’s” for the remaining Sections of the FNS-742.</w:t>
      </w:r>
    </w:p>
    <w:p w:rsidR="00D865E9" w:rsidRPr="00BB2A3A" w:rsidRDefault="00D865E9" w:rsidP="00D865E9">
      <w:pPr>
        <w:pStyle w:val="ListParagraph"/>
        <w:numPr>
          <w:ilvl w:val="0"/>
          <w:numId w:val="39"/>
        </w:numPr>
        <w:spacing w:after="120"/>
        <w:ind w:left="1260"/>
        <w:contextualSpacing w:val="0"/>
        <w:rPr>
          <w:rFonts w:ascii="Times New Roman" w:hAnsi="Times New Roman"/>
          <w:sz w:val="24"/>
          <w:szCs w:val="24"/>
        </w:rPr>
      </w:pPr>
      <w:r w:rsidRPr="00BB2A3A">
        <w:rPr>
          <w:rFonts w:ascii="Times New Roman" w:hAnsi="Times New Roman"/>
          <w:sz w:val="24"/>
          <w:szCs w:val="24"/>
        </w:rPr>
        <w:t xml:space="preserve">If only some schools in the LEA are participating in CEP report as follows:  </w:t>
      </w:r>
    </w:p>
    <w:p w:rsidR="00D865E9" w:rsidRPr="00BB2A3A" w:rsidRDefault="00D865E9" w:rsidP="00D865E9">
      <w:pPr>
        <w:pStyle w:val="ListParagraph"/>
        <w:numPr>
          <w:ilvl w:val="1"/>
          <w:numId w:val="39"/>
        </w:numPr>
        <w:spacing w:after="120"/>
        <w:ind w:left="1800"/>
        <w:contextualSpacing w:val="0"/>
        <w:rPr>
          <w:rFonts w:ascii="Times New Roman" w:hAnsi="Times New Roman"/>
          <w:sz w:val="24"/>
          <w:szCs w:val="24"/>
        </w:rPr>
      </w:pPr>
      <w:r w:rsidRPr="00BB2A3A">
        <w:rPr>
          <w:rFonts w:ascii="Times New Roman" w:hAnsi="Times New Roman"/>
          <w:sz w:val="24"/>
          <w:szCs w:val="24"/>
        </w:rPr>
        <w:t xml:space="preserve">Report SNAP-only direct certification data for the schools NOT participating in CEP in </w:t>
      </w:r>
      <w:r w:rsidRPr="00BB2A3A">
        <w:rPr>
          <w:rFonts w:ascii="Times New Roman" w:hAnsi="Times New Roman"/>
          <w:b/>
          <w:sz w:val="24"/>
          <w:szCs w:val="24"/>
        </w:rPr>
        <w:t xml:space="preserve">Section 3-2: “Students directly certified through SNAP </w:t>
      </w:r>
      <w:r w:rsidRPr="00BB2A3A">
        <w:rPr>
          <w:rFonts w:ascii="Times New Roman" w:hAnsi="Times New Roman"/>
          <w:sz w:val="24"/>
          <w:szCs w:val="24"/>
        </w:rPr>
        <w:t>on the FNS-742.</w:t>
      </w:r>
    </w:p>
    <w:p w:rsidR="00D865E9" w:rsidRPr="00BB2A3A" w:rsidRDefault="00D865E9" w:rsidP="00D865E9">
      <w:pPr>
        <w:pStyle w:val="ListParagraph"/>
        <w:numPr>
          <w:ilvl w:val="1"/>
          <w:numId w:val="39"/>
        </w:numPr>
        <w:ind w:left="1800"/>
        <w:contextualSpacing w:val="0"/>
        <w:rPr>
          <w:rFonts w:ascii="Times New Roman" w:hAnsi="Times New Roman"/>
          <w:sz w:val="24"/>
          <w:szCs w:val="24"/>
        </w:rPr>
      </w:pPr>
      <w:r w:rsidRPr="00BB2A3A">
        <w:rPr>
          <w:rFonts w:ascii="Times New Roman" w:hAnsi="Times New Roman"/>
          <w:sz w:val="24"/>
          <w:szCs w:val="24"/>
        </w:rPr>
        <w:t>Report the remaining fields of Section 3 and all other Sections of the FNS-742 for schools NOT participating in CEP or provision 2/3 in non-base as applicable.</w:t>
      </w:r>
    </w:p>
    <w:p w:rsidR="00A85B25" w:rsidRPr="008A400C" w:rsidRDefault="00A85B25" w:rsidP="0078564A">
      <w:pPr>
        <w:rPr>
          <w:rFonts w:eastAsia="Calibri"/>
          <w:sz w:val="24"/>
          <w:szCs w:val="24"/>
        </w:rPr>
      </w:pPr>
    </w:p>
    <w:p w:rsidR="0078564A" w:rsidRPr="008A400C" w:rsidRDefault="0078564A" w:rsidP="008A400C">
      <w:pPr>
        <w:numPr>
          <w:ilvl w:val="0"/>
          <w:numId w:val="27"/>
        </w:numPr>
        <w:rPr>
          <w:rFonts w:eastAsia="Calibri"/>
          <w:sz w:val="24"/>
          <w:szCs w:val="24"/>
        </w:rPr>
      </w:pPr>
      <w:r>
        <w:rPr>
          <w:rFonts w:eastAsia="Calibri"/>
          <w:b/>
          <w:sz w:val="24"/>
          <w:szCs w:val="24"/>
        </w:rPr>
        <w:t xml:space="preserve">How </w:t>
      </w:r>
      <w:r w:rsidR="00343D08">
        <w:rPr>
          <w:rFonts w:eastAsia="Calibri"/>
          <w:b/>
          <w:sz w:val="24"/>
          <w:szCs w:val="24"/>
        </w:rPr>
        <w:t>is</w:t>
      </w:r>
      <w:r>
        <w:rPr>
          <w:rFonts w:eastAsia="Calibri"/>
          <w:b/>
          <w:sz w:val="24"/>
          <w:szCs w:val="24"/>
        </w:rPr>
        <w:t xml:space="preserve"> CEP data </w:t>
      </w:r>
      <w:r w:rsidR="00343D08">
        <w:rPr>
          <w:rFonts w:eastAsia="Calibri"/>
          <w:b/>
          <w:sz w:val="24"/>
          <w:szCs w:val="24"/>
        </w:rPr>
        <w:t xml:space="preserve">reported </w:t>
      </w:r>
      <w:r>
        <w:rPr>
          <w:rFonts w:eastAsia="Calibri"/>
          <w:b/>
          <w:sz w:val="24"/>
          <w:szCs w:val="24"/>
        </w:rPr>
        <w:t xml:space="preserve">on the FNS 834? </w:t>
      </w:r>
    </w:p>
    <w:p w:rsidR="0078564A" w:rsidRDefault="0078564A" w:rsidP="0078564A">
      <w:pPr>
        <w:rPr>
          <w:rFonts w:eastAsia="Calibri"/>
          <w:sz w:val="24"/>
          <w:szCs w:val="24"/>
        </w:rPr>
      </w:pPr>
    </w:p>
    <w:p w:rsidR="00D865E9" w:rsidRPr="00BB2A3A" w:rsidRDefault="00D34C1D" w:rsidP="00937DED">
      <w:pPr>
        <w:spacing w:after="120"/>
        <w:ind w:left="720"/>
        <w:rPr>
          <w:sz w:val="24"/>
          <w:szCs w:val="24"/>
        </w:rPr>
      </w:pPr>
      <w:r>
        <w:rPr>
          <w:sz w:val="24"/>
          <w:szCs w:val="24"/>
        </w:rPr>
        <w:t xml:space="preserve">CEP schools and Provision 2/3 non-base year </w:t>
      </w:r>
      <w:r w:rsidR="00D865E9" w:rsidRPr="00BB2A3A">
        <w:rPr>
          <w:sz w:val="24"/>
          <w:szCs w:val="24"/>
        </w:rPr>
        <w:t>FNS-834 procedures for States:</w:t>
      </w:r>
    </w:p>
    <w:p w:rsidR="00D865E9" w:rsidRPr="00BB2A3A" w:rsidRDefault="00D865E9" w:rsidP="00937DED">
      <w:pPr>
        <w:pStyle w:val="ListParagraph"/>
        <w:numPr>
          <w:ilvl w:val="0"/>
          <w:numId w:val="39"/>
        </w:numPr>
        <w:spacing w:after="120"/>
        <w:ind w:left="1260"/>
        <w:contextualSpacing w:val="0"/>
        <w:rPr>
          <w:rFonts w:ascii="Times New Roman" w:hAnsi="Times New Roman"/>
          <w:sz w:val="24"/>
          <w:szCs w:val="24"/>
        </w:rPr>
      </w:pPr>
      <w:r w:rsidRPr="00BB2A3A">
        <w:rPr>
          <w:rFonts w:ascii="Times New Roman" w:hAnsi="Times New Roman"/>
          <w:sz w:val="24"/>
          <w:szCs w:val="24"/>
        </w:rPr>
        <w:t>Report a statewide count of students matched with SNAP for all</w:t>
      </w:r>
      <w:r w:rsidR="00D34C1D">
        <w:rPr>
          <w:rFonts w:ascii="Times New Roman" w:hAnsi="Times New Roman"/>
          <w:sz w:val="24"/>
          <w:szCs w:val="24"/>
        </w:rPr>
        <w:t xml:space="preserve"> schools participating in CEP and any</w:t>
      </w:r>
      <w:r w:rsidRPr="00BB2A3A">
        <w:rPr>
          <w:rFonts w:ascii="Times New Roman" w:hAnsi="Times New Roman"/>
          <w:sz w:val="24"/>
          <w:szCs w:val="24"/>
        </w:rPr>
        <w:t xml:space="preserve"> provision 2/3 non-base year schools </w:t>
      </w:r>
      <w:r w:rsidRPr="00BB2A3A">
        <w:rPr>
          <w:rFonts w:ascii="Times New Roman" w:hAnsi="Times New Roman"/>
          <w:sz w:val="24"/>
          <w:szCs w:val="24"/>
          <w:u w:val="single"/>
        </w:rPr>
        <w:t>combined</w:t>
      </w:r>
      <w:r w:rsidRPr="00BB2A3A">
        <w:rPr>
          <w:rFonts w:ascii="Times New Roman" w:hAnsi="Times New Roman"/>
          <w:sz w:val="24"/>
          <w:szCs w:val="24"/>
        </w:rPr>
        <w:t xml:space="preserve"> on the FNS-834 in the </w:t>
      </w:r>
      <w:r w:rsidRPr="00BB2A3A">
        <w:rPr>
          <w:rFonts w:ascii="Times New Roman" w:hAnsi="Times New Roman"/>
          <w:b/>
          <w:sz w:val="24"/>
          <w:szCs w:val="24"/>
        </w:rPr>
        <w:t>Data Element #3</w:t>
      </w:r>
      <w:r w:rsidRPr="00BB2A3A">
        <w:rPr>
          <w:rFonts w:ascii="Times New Roman" w:hAnsi="Times New Roman"/>
          <w:sz w:val="24"/>
          <w:szCs w:val="24"/>
        </w:rPr>
        <w:t xml:space="preserve"> box for “</w:t>
      </w:r>
      <w:r w:rsidRPr="00BB2A3A">
        <w:rPr>
          <w:rFonts w:ascii="Times New Roman" w:hAnsi="Times New Roman"/>
          <w:b/>
          <w:sz w:val="24"/>
          <w:szCs w:val="24"/>
        </w:rPr>
        <w:t>The number of SNAP Children in Special Provision Schools Operating in a Non-Base Year.”</w:t>
      </w:r>
    </w:p>
    <w:p w:rsidR="00A85B25" w:rsidRDefault="00A85B25" w:rsidP="0078564A">
      <w:pPr>
        <w:rPr>
          <w:rFonts w:eastAsia="Calibri"/>
          <w:sz w:val="24"/>
          <w:szCs w:val="24"/>
        </w:rPr>
      </w:pPr>
    </w:p>
    <w:p w:rsidR="00A85B25" w:rsidRPr="00BB2A3A" w:rsidRDefault="00A85B25" w:rsidP="00BB2A3A">
      <w:pPr>
        <w:numPr>
          <w:ilvl w:val="0"/>
          <w:numId w:val="27"/>
        </w:numPr>
        <w:rPr>
          <w:rFonts w:eastAsia="Calibri"/>
          <w:b/>
          <w:sz w:val="24"/>
          <w:szCs w:val="24"/>
        </w:rPr>
      </w:pPr>
      <w:r w:rsidRPr="00BB2A3A">
        <w:rPr>
          <w:rFonts w:eastAsia="Calibri"/>
          <w:b/>
          <w:sz w:val="24"/>
          <w:szCs w:val="24"/>
        </w:rPr>
        <w:t xml:space="preserve">How </w:t>
      </w:r>
      <w:r w:rsidR="00343D08">
        <w:rPr>
          <w:rFonts w:eastAsia="Calibri"/>
          <w:b/>
          <w:sz w:val="24"/>
          <w:szCs w:val="24"/>
        </w:rPr>
        <w:t>is</w:t>
      </w:r>
      <w:r w:rsidRPr="00BB2A3A">
        <w:rPr>
          <w:rFonts w:eastAsia="Calibri"/>
          <w:b/>
          <w:sz w:val="24"/>
          <w:szCs w:val="24"/>
        </w:rPr>
        <w:t xml:space="preserve"> October data </w:t>
      </w:r>
      <w:r w:rsidR="00343D08">
        <w:rPr>
          <w:rFonts w:eastAsia="Calibri"/>
          <w:b/>
          <w:sz w:val="24"/>
          <w:szCs w:val="24"/>
        </w:rPr>
        <w:t xml:space="preserve">reported </w:t>
      </w:r>
      <w:r w:rsidRPr="00BB2A3A">
        <w:rPr>
          <w:rFonts w:eastAsia="Calibri"/>
          <w:b/>
          <w:sz w:val="24"/>
          <w:szCs w:val="24"/>
        </w:rPr>
        <w:t>on the FNS-10 for CEP schools?</w:t>
      </w:r>
    </w:p>
    <w:p w:rsidR="00A85B25" w:rsidRPr="00BB2A3A" w:rsidRDefault="00A85B25" w:rsidP="00BB2A3A">
      <w:pPr>
        <w:rPr>
          <w:rFonts w:eastAsia="Calibri"/>
          <w:sz w:val="24"/>
          <w:szCs w:val="24"/>
        </w:rPr>
      </w:pPr>
      <w:r w:rsidRPr="00BB2A3A">
        <w:rPr>
          <w:rFonts w:eastAsia="Calibri"/>
          <w:sz w:val="24"/>
          <w:szCs w:val="24"/>
        </w:rPr>
        <w:t>The FREE percentage currently used to claim meals under the CEP (identified student percentage</w:t>
      </w:r>
      <w:r w:rsidR="00BB2A3A">
        <w:rPr>
          <w:rFonts w:eastAsia="Calibri"/>
          <w:sz w:val="24"/>
          <w:szCs w:val="24"/>
        </w:rPr>
        <w:t xml:space="preserve"> times </w:t>
      </w:r>
      <w:r w:rsidRPr="00BB2A3A">
        <w:rPr>
          <w:rFonts w:eastAsia="Calibri"/>
          <w:sz w:val="24"/>
          <w:szCs w:val="24"/>
        </w:rPr>
        <w:t>1.6) in the LEA/school should be applied to the current October enrollment number to estimate the number of children approved for FREE lunches to report in 15a. CEP</w:t>
      </w:r>
      <w:r w:rsidR="000C430B">
        <w:rPr>
          <w:rFonts w:eastAsia="Calibri"/>
          <w:sz w:val="24"/>
          <w:szCs w:val="24"/>
        </w:rPr>
        <w:t xml:space="preserve"> LEAs</w:t>
      </w:r>
      <w:r w:rsidRPr="00BB2A3A">
        <w:rPr>
          <w:rFonts w:eastAsia="Calibri"/>
          <w:sz w:val="24"/>
          <w:szCs w:val="24"/>
        </w:rPr>
        <w:t xml:space="preserve"> will not report REDUCED PRICE data in 15b. </w:t>
      </w:r>
    </w:p>
    <w:p w:rsidR="00A85B25" w:rsidRDefault="00A85B25" w:rsidP="0078564A">
      <w:pPr>
        <w:rPr>
          <w:rFonts w:eastAsia="Calibri"/>
          <w:sz w:val="24"/>
          <w:szCs w:val="24"/>
        </w:rPr>
      </w:pPr>
    </w:p>
    <w:p w:rsidR="004513E8" w:rsidRPr="000C430B" w:rsidRDefault="00D865E9" w:rsidP="000C430B">
      <w:pPr>
        <w:numPr>
          <w:ilvl w:val="0"/>
          <w:numId w:val="27"/>
        </w:numPr>
        <w:rPr>
          <w:rFonts w:eastAsia="Calibri"/>
          <w:b/>
          <w:sz w:val="24"/>
          <w:szCs w:val="24"/>
        </w:rPr>
      </w:pPr>
      <w:r w:rsidRPr="000C430B">
        <w:rPr>
          <w:rFonts w:eastAsia="Calibri"/>
          <w:b/>
          <w:sz w:val="24"/>
          <w:szCs w:val="24"/>
        </w:rPr>
        <w:t xml:space="preserve">How </w:t>
      </w:r>
      <w:proofErr w:type="gramStart"/>
      <w:r w:rsidR="00343D08" w:rsidRPr="000C430B">
        <w:rPr>
          <w:rFonts w:eastAsia="Calibri"/>
          <w:b/>
          <w:sz w:val="24"/>
          <w:szCs w:val="24"/>
        </w:rPr>
        <w:t>are</w:t>
      </w:r>
      <w:proofErr w:type="gramEnd"/>
      <w:r w:rsidRPr="000C430B">
        <w:rPr>
          <w:rFonts w:eastAsia="Calibri"/>
          <w:b/>
          <w:sz w:val="24"/>
          <w:szCs w:val="24"/>
        </w:rPr>
        <w:t xml:space="preserve"> CEP </w:t>
      </w:r>
      <w:r w:rsidR="00343D08" w:rsidRPr="000C430B">
        <w:rPr>
          <w:rFonts w:eastAsia="Calibri"/>
          <w:b/>
          <w:sz w:val="24"/>
          <w:szCs w:val="24"/>
        </w:rPr>
        <w:t xml:space="preserve">data accounted for </w:t>
      </w:r>
      <w:r w:rsidRPr="000C430B">
        <w:rPr>
          <w:rFonts w:eastAsia="Calibri"/>
          <w:b/>
          <w:sz w:val="24"/>
          <w:szCs w:val="24"/>
        </w:rPr>
        <w:t>in the FNS-828?</w:t>
      </w:r>
    </w:p>
    <w:p w:rsidR="00D865E9" w:rsidRPr="000C430B" w:rsidRDefault="00D865E9" w:rsidP="0078564A">
      <w:pPr>
        <w:rPr>
          <w:sz w:val="24"/>
          <w:szCs w:val="24"/>
        </w:rPr>
      </w:pPr>
      <w:r w:rsidRPr="006F15A3">
        <w:rPr>
          <w:bCs/>
          <w:sz w:val="24"/>
          <w:szCs w:val="24"/>
          <w:u w:val="single"/>
        </w:rPr>
        <w:t xml:space="preserve">All </w:t>
      </w:r>
      <w:r w:rsidRPr="006F15A3">
        <w:rPr>
          <w:bCs/>
          <w:sz w:val="24"/>
          <w:szCs w:val="24"/>
        </w:rPr>
        <w:t>SFAs must report</w:t>
      </w:r>
      <w:r w:rsidR="00985C85">
        <w:rPr>
          <w:bCs/>
          <w:sz w:val="24"/>
          <w:szCs w:val="24"/>
        </w:rPr>
        <w:t>.</w:t>
      </w:r>
      <w:r w:rsidRPr="000C430B">
        <w:rPr>
          <w:b/>
          <w:bCs/>
          <w:sz w:val="24"/>
          <w:szCs w:val="24"/>
        </w:rPr>
        <w:t xml:space="preserve"> </w:t>
      </w:r>
      <w:r w:rsidRPr="000C430B">
        <w:rPr>
          <w:sz w:val="24"/>
          <w:szCs w:val="24"/>
        </w:rPr>
        <w:t xml:space="preserve">SFAs that do not charge for paid student lunches must enter "$0.00" in any or all categories, as applicable. SFAs that have some schools that do not charge for lunches </w:t>
      </w:r>
      <w:r w:rsidRPr="000C430B">
        <w:rPr>
          <w:sz w:val="24"/>
          <w:szCs w:val="24"/>
        </w:rPr>
        <w:lastRenderedPageBreak/>
        <w:t xml:space="preserve">(i.e., CEP schools), would report the most frequently charged lunch price(s) in those schools or categories of schools that </w:t>
      </w:r>
      <w:r w:rsidRPr="000C430B">
        <w:rPr>
          <w:b/>
          <w:sz w:val="24"/>
          <w:szCs w:val="24"/>
        </w:rPr>
        <w:t>do</w:t>
      </w:r>
      <w:r w:rsidRPr="000C430B">
        <w:rPr>
          <w:sz w:val="24"/>
          <w:szCs w:val="24"/>
        </w:rPr>
        <w:t xml:space="preserve"> charge for paid lunches.</w:t>
      </w:r>
    </w:p>
    <w:p w:rsidR="004513E8" w:rsidRPr="000C430B" w:rsidRDefault="004513E8" w:rsidP="0078564A">
      <w:pPr>
        <w:rPr>
          <w:sz w:val="24"/>
          <w:szCs w:val="24"/>
        </w:rPr>
      </w:pPr>
    </w:p>
    <w:p w:rsidR="004513E8" w:rsidRDefault="00AA3329" w:rsidP="004D77BE">
      <w:pPr>
        <w:numPr>
          <w:ilvl w:val="0"/>
          <w:numId w:val="27"/>
        </w:numPr>
        <w:rPr>
          <w:b/>
          <w:sz w:val="24"/>
          <w:szCs w:val="24"/>
        </w:rPr>
      </w:pPr>
      <w:r w:rsidRPr="00AA3329">
        <w:rPr>
          <w:b/>
          <w:sz w:val="24"/>
          <w:szCs w:val="24"/>
        </w:rPr>
        <w:t>Is there information for LEAs participating in CEP on Title I procedures?</w:t>
      </w:r>
    </w:p>
    <w:p w:rsidR="00AA3329" w:rsidRDefault="00AA3329" w:rsidP="0078564A">
      <w:pPr>
        <w:rPr>
          <w:sz w:val="24"/>
          <w:szCs w:val="24"/>
        </w:rPr>
      </w:pPr>
      <w:r w:rsidRPr="00AA3329">
        <w:rPr>
          <w:sz w:val="24"/>
          <w:szCs w:val="24"/>
        </w:rPr>
        <w:t xml:space="preserve">Yes, </w:t>
      </w:r>
      <w:r w:rsidR="00985C85">
        <w:rPr>
          <w:sz w:val="24"/>
          <w:szCs w:val="24"/>
        </w:rPr>
        <w:t>t</w:t>
      </w:r>
      <w:r w:rsidRPr="00AA3329">
        <w:rPr>
          <w:sz w:val="24"/>
          <w:szCs w:val="24"/>
        </w:rPr>
        <w:t xml:space="preserve">he </w:t>
      </w:r>
      <w:r w:rsidR="00D31414">
        <w:rPr>
          <w:sz w:val="24"/>
          <w:szCs w:val="24"/>
        </w:rPr>
        <w:t xml:space="preserve">U.S. </w:t>
      </w:r>
      <w:r w:rsidRPr="00AA3329">
        <w:rPr>
          <w:sz w:val="24"/>
          <w:szCs w:val="24"/>
        </w:rPr>
        <w:t xml:space="preserve">Department of Education put out guidance which </w:t>
      </w:r>
      <w:r w:rsidR="00D31414">
        <w:rPr>
          <w:sz w:val="24"/>
          <w:szCs w:val="24"/>
        </w:rPr>
        <w:t xml:space="preserve">is </w:t>
      </w:r>
      <w:r w:rsidR="00AD44EA">
        <w:rPr>
          <w:sz w:val="24"/>
          <w:szCs w:val="24"/>
        </w:rPr>
        <w:t xml:space="preserve">part of our SP19-2014 memorandum and is available </w:t>
      </w:r>
      <w:hyperlink r:id="rId12" w:history="1">
        <w:r w:rsidRPr="00AD44EA">
          <w:rPr>
            <w:rStyle w:val="Hyperlink"/>
            <w:sz w:val="24"/>
            <w:szCs w:val="24"/>
          </w:rPr>
          <w:t>here</w:t>
        </w:r>
      </w:hyperlink>
      <w:r w:rsidRPr="00AA3329">
        <w:rPr>
          <w:sz w:val="24"/>
          <w:szCs w:val="24"/>
        </w:rPr>
        <w:t xml:space="preserve">.  </w:t>
      </w:r>
    </w:p>
    <w:p w:rsidR="004307F4" w:rsidRDefault="004307F4" w:rsidP="0078564A">
      <w:pPr>
        <w:rPr>
          <w:sz w:val="24"/>
          <w:szCs w:val="24"/>
        </w:rPr>
      </w:pPr>
    </w:p>
    <w:p w:rsidR="004307F4" w:rsidRDefault="004307F4" w:rsidP="0078564A">
      <w:pPr>
        <w:rPr>
          <w:sz w:val="24"/>
          <w:szCs w:val="24"/>
        </w:rPr>
      </w:pPr>
    </w:p>
    <w:sectPr w:rsidR="004307F4" w:rsidSect="002B17B4">
      <w:headerReference w:type="default" r:id="rId13"/>
      <w:headerReference w:type="first" r:id="rId14"/>
      <w:footerReference w:type="first" r:id="rId15"/>
      <w:pgSz w:w="12240" w:h="15840"/>
      <w:pgMar w:top="1440" w:right="1440" w:bottom="1440" w:left="1440" w:header="720" w:footer="720"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B19" w:rsidRDefault="00CA7B19">
      <w:r>
        <w:separator/>
      </w:r>
    </w:p>
  </w:endnote>
  <w:endnote w:type="continuationSeparator" w:id="0">
    <w:p w:rsidR="00CA7B19" w:rsidRDefault="00CA7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FF5" w:rsidRDefault="008D3A48">
    <w:pPr>
      <w:pStyle w:val="Footer"/>
      <w:jc w:val="center"/>
    </w:pPr>
    <w:r>
      <w:fldChar w:fldCharType="begin"/>
    </w:r>
    <w:r w:rsidR="00666FF5">
      <w:instrText xml:space="preserve"> PAGE   \* MERGEFORMAT </w:instrText>
    </w:r>
    <w:r>
      <w:fldChar w:fldCharType="separate"/>
    </w:r>
    <w:r w:rsidR="002B17B4">
      <w:rPr>
        <w:noProof/>
      </w:rPr>
      <w:t>1</w:t>
    </w:r>
    <w:r>
      <w:rPr>
        <w:noProof/>
      </w:rPr>
      <w:fldChar w:fldCharType="end"/>
    </w:r>
  </w:p>
  <w:p w:rsidR="00666FF5" w:rsidRDefault="00666F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B19" w:rsidRDefault="00CA7B19">
      <w:r>
        <w:separator/>
      </w:r>
    </w:p>
  </w:footnote>
  <w:footnote w:type="continuationSeparator" w:id="0">
    <w:p w:rsidR="00CA7B19" w:rsidRDefault="00CA7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7B4" w:rsidRDefault="002B17B4" w:rsidP="002B17B4">
    <w:pPr>
      <w:pStyle w:val="Header"/>
      <w:jc w:val="right"/>
    </w:pPr>
    <w:r>
      <w:t>Attachment A, Memo No. 0</w:t>
    </w:r>
    <w:r w:rsidR="006E03DC">
      <w:t>66</w:t>
    </w:r>
    <w:r>
      <w:t>-</w:t>
    </w:r>
    <w:r w:rsidR="006E03DC">
      <w:t>1</w:t>
    </w:r>
    <w:r>
      <w:t>4</w:t>
    </w:r>
  </w:p>
  <w:p w:rsidR="002B17B4" w:rsidRDefault="002B17B4" w:rsidP="002B17B4">
    <w:pPr>
      <w:pStyle w:val="Header"/>
      <w:jc w:val="right"/>
    </w:pPr>
    <w:r>
      <w:t>March 21, 2014</w:t>
    </w:r>
  </w:p>
  <w:p w:rsidR="002B17B4" w:rsidRDefault="002B17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7B4" w:rsidRDefault="002B17B4" w:rsidP="002B17B4">
    <w:pPr>
      <w:pStyle w:val="Header"/>
      <w:jc w:val="right"/>
    </w:pPr>
    <w:r>
      <w:t>Attachment A, Memo No. 000-14</w:t>
    </w:r>
  </w:p>
  <w:p w:rsidR="002B17B4" w:rsidRDefault="002B17B4" w:rsidP="002B17B4">
    <w:pPr>
      <w:pStyle w:val="Header"/>
      <w:jc w:val="right"/>
    </w:pPr>
    <w:r>
      <w:t>March 21, 2014</w:t>
    </w:r>
  </w:p>
  <w:p w:rsidR="007C30BE" w:rsidRPr="007C30BE" w:rsidRDefault="007C30BE" w:rsidP="007C30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A5181A"/>
    <w:multiLevelType w:val="hybridMultilevel"/>
    <w:tmpl w:val="6CDE41D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9B4BF7"/>
    <w:multiLevelType w:val="hybridMultilevel"/>
    <w:tmpl w:val="11207D2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3C621A3"/>
    <w:multiLevelType w:val="hybridMultilevel"/>
    <w:tmpl w:val="C302CA5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8D1E248"/>
    <w:multiLevelType w:val="hybridMultilevel"/>
    <w:tmpl w:val="D1F9E9D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AEC27A0"/>
    <w:multiLevelType w:val="hybridMultilevel"/>
    <w:tmpl w:val="7763D5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7D389F"/>
    <w:multiLevelType w:val="hybridMultilevel"/>
    <w:tmpl w:val="68B8794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73AF93B"/>
    <w:multiLevelType w:val="hybridMultilevel"/>
    <w:tmpl w:val="60D77A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67132E"/>
    <w:multiLevelType w:val="hybridMultilevel"/>
    <w:tmpl w:val="136A2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B9D3CF1"/>
    <w:multiLevelType w:val="hybridMultilevel"/>
    <w:tmpl w:val="C44C4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C82B0ED"/>
    <w:multiLevelType w:val="hybridMultilevel"/>
    <w:tmpl w:val="6D6232D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13900AE"/>
    <w:multiLevelType w:val="hybridMultilevel"/>
    <w:tmpl w:val="A21EB37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4D7BFC"/>
    <w:multiLevelType w:val="hybridMultilevel"/>
    <w:tmpl w:val="91E22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5691F13"/>
    <w:multiLevelType w:val="hybridMultilevel"/>
    <w:tmpl w:val="F294B04C"/>
    <w:lvl w:ilvl="0" w:tplc="80023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95363D"/>
    <w:multiLevelType w:val="hybridMultilevel"/>
    <w:tmpl w:val="F27C3BF2"/>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25AD217B"/>
    <w:multiLevelType w:val="hybridMultilevel"/>
    <w:tmpl w:val="3118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96BAF"/>
    <w:multiLevelType w:val="hybridMultilevel"/>
    <w:tmpl w:val="4482A824"/>
    <w:lvl w:ilvl="0" w:tplc="63DEADD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B61AD3"/>
    <w:multiLevelType w:val="hybridMultilevel"/>
    <w:tmpl w:val="DAA2075C"/>
    <w:lvl w:ilvl="0" w:tplc="80023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5133A1"/>
    <w:multiLevelType w:val="hybridMultilevel"/>
    <w:tmpl w:val="B874AA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6E0B50"/>
    <w:multiLevelType w:val="hybridMultilevel"/>
    <w:tmpl w:val="44E4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98583D"/>
    <w:multiLevelType w:val="hybridMultilevel"/>
    <w:tmpl w:val="ABFE9D78"/>
    <w:lvl w:ilvl="0" w:tplc="A69E945C">
      <w:start w:val="1"/>
      <w:numFmt w:val="bullet"/>
      <w:lvlText w:val=""/>
      <w:lvlJc w:val="left"/>
      <w:pPr>
        <w:tabs>
          <w:tab w:val="num" w:pos="720"/>
        </w:tabs>
        <w:ind w:left="720" w:hanging="360"/>
      </w:pPr>
      <w:rPr>
        <w:rFonts w:ascii="Wingdings 2" w:hAnsi="Wingdings 2" w:hint="default"/>
      </w:rPr>
    </w:lvl>
    <w:lvl w:ilvl="1" w:tplc="05DAF57E" w:tentative="1">
      <w:start w:val="1"/>
      <w:numFmt w:val="bullet"/>
      <w:lvlText w:val=""/>
      <w:lvlJc w:val="left"/>
      <w:pPr>
        <w:tabs>
          <w:tab w:val="num" w:pos="1440"/>
        </w:tabs>
        <w:ind w:left="1440" w:hanging="360"/>
      </w:pPr>
      <w:rPr>
        <w:rFonts w:ascii="Wingdings 2" w:hAnsi="Wingdings 2" w:hint="default"/>
      </w:rPr>
    </w:lvl>
    <w:lvl w:ilvl="2" w:tplc="8DF0AEAE" w:tentative="1">
      <w:start w:val="1"/>
      <w:numFmt w:val="bullet"/>
      <w:lvlText w:val=""/>
      <w:lvlJc w:val="left"/>
      <w:pPr>
        <w:tabs>
          <w:tab w:val="num" w:pos="2160"/>
        </w:tabs>
        <w:ind w:left="2160" w:hanging="360"/>
      </w:pPr>
      <w:rPr>
        <w:rFonts w:ascii="Wingdings 2" w:hAnsi="Wingdings 2" w:hint="default"/>
      </w:rPr>
    </w:lvl>
    <w:lvl w:ilvl="3" w:tplc="FCCA64E4" w:tentative="1">
      <w:start w:val="1"/>
      <w:numFmt w:val="bullet"/>
      <w:lvlText w:val=""/>
      <w:lvlJc w:val="left"/>
      <w:pPr>
        <w:tabs>
          <w:tab w:val="num" w:pos="2880"/>
        </w:tabs>
        <w:ind w:left="2880" w:hanging="360"/>
      </w:pPr>
      <w:rPr>
        <w:rFonts w:ascii="Wingdings 2" w:hAnsi="Wingdings 2" w:hint="default"/>
      </w:rPr>
    </w:lvl>
    <w:lvl w:ilvl="4" w:tplc="D598B4E0" w:tentative="1">
      <w:start w:val="1"/>
      <w:numFmt w:val="bullet"/>
      <w:lvlText w:val=""/>
      <w:lvlJc w:val="left"/>
      <w:pPr>
        <w:tabs>
          <w:tab w:val="num" w:pos="3600"/>
        </w:tabs>
        <w:ind w:left="3600" w:hanging="360"/>
      </w:pPr>
      <w:rPr>
        <w:rFonts w:ascii="Wingdings 2" w:hAnsi="Wingdings 2" w:hint="default"/>
      </w:rPr>
    </w:lvl>
    <w:lvl w:ilvl="5" w:tplc="7A70968E" w:tentative="1">
      <w:start w:val="1"/>
      <w:numFmt w:val="bullet"/>
      <w:lvlText w:val=""/>
      <w:lvlJc w:val="left"/>
      <w:pPr>
        <w:tabs>
          <w:tab w:val="num" w:pos="4320"/>
        </w:tabs>
        <w:ind w:left="4320" w:hanging="360"/>
      </w:pPr>
      <w:rPr>
        <w:rFonts w:ascii="Wingdings 2" w:hAnsi="Wingdings 2" w:hint="default"/>
      </w:rPr>
    </w:lvl>
    <w:lvl w:ilvl="6" w:tplc="41666B48" w:tentative="1">
      <w:start w:val="1"/>
      <w:numFmt w:val="bullet"/>
      <w:lvlText w:val=""/>
      <w:lvlJc w:val="left"/>
      <w:pPr>
        <w:tabs>
          <w:tab w:val="num" w:pos="5040"/>
        </w:tabs>
        <w:ind w:left="5040" w:hanging="360"/>
      </w:pPr>
      <w:rPr>
        <w:rFonts w:ascii="Wingdings 2" w:hAnsi="Wingdings 2" w:hint="default"/>
      </w:rPr>
    </w:lvl>
    <w:lvl w:ilvl="7" w:tplc="2E04C5A6" w:tentative="1">
      <w:start w:val="1"/>
      <w:numFmt w:val="bullet"/>
      <w:lvlText w:val=""/>
      <w:lvlJc w:val="left"/>
      <w:pPr>
        <w:tabs>
          <w:tab w:val="num" w:pos="5760"/>
        </w:tabs>
        <w:ind w:left="5760" w:hanging="360"/>
      </w:pPr>
      <w:rPr>
        <w:rFonts w:ascii="Wingdings 2" w:hAnsi="Wingdings 2" w:hint="default"/>
      </w:rPr>
    </w:lvl>
    <w:lvl w:ilvl="8" w:tplc="13BECE84" w:tentative="1">
      <w:start w:val="1"/>
      <w:numFmt w:val="bullet"/>
      <w:lvlText w:val=""/>
      <w:lvlJc w:val="left"/>
      <w:pPr>
        <w:tabs>
          <w:tab w:val="num" w:pos="6480"/>
        </w:tabs>
        <w:ind w:left="6480" w:hanging="360"/>
      </w:pPr>
      <w:rPr>
        <w:rFonts w:ascii="Wingdings 2" w:hAnsi="Wingdings 2" w:hint="default"/>
      </w:rPr>
    </w:lvl>
  </w:abstractNum>
  <w:abstractNum w:abstractNumId="20">
    <w:nsid w:val="3C067085"/>
    <w:multiLevelType w:val="hybridMultilevel"/>
    <w:tmpl w:val="FB1036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E1572AA"/>
    <w:multiLevelType w:val="hybridMultilevel"/>
    <w:tmpl w:val="4E84A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1F0CDA"/>
    <w:multiLevelType w:val="hybridMultilevel"/>
    <w:tmpl w:val="C8922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13FEC2"/>
    <w:multiLevelType w:val="hybridMultilevel"/>
    <w:tmpl w:val="B0DAD2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552A820"/>
    <w:multiLevelType w:val="hybridMultilevel"/>
    <w:tmpl w:val="1A7737C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B345168"/>
    <w:multiLevelType w:val="hybridMultilevel"/>
    <w:tmpl w:val="0FB6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DF384C"/>
    <w:multiLevelType w:val="hybridMultilevel"/>
    <w:tmpl w:val="786314B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458074A"/>
    <w:multiLevelType w:val="hybridMultilevel"/>
    <w:tmpl w:val="95683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E861F3"/>
    <w:multiLevelType w:val="hybridMultilevel"/>
    <w:tmpl w:val="CD34FBA4"/>
    <w:lvl w:ilvl="0" w:tplc="86E453B2">
      <w:start w:val="1"/>
      <w:numFmt w:val="bullet"/>
      <w:lvlText w:val=""/>
      <w:lvlJc w:val="left"/>
      <w:pPr>
        <w:tabs>
          <w:tab w:val="num" w:pos="720"/>
        </w:tabs>
        <w:ind w:left="720" w:hanging="360"/>
      </w:pPr>
      <w:rPr>
        <w:rFonts w:ascii="Wingdings 2" w:hAnsi="Wingdings 2" w:hint="default"/>
      </w:rPr>
    </w:lvl>
    <w:lvl w:ilvl="1" w:tplc="6B74D3A4">
      <w:start w:val="1"/>
      <w:numFmt w:val="bullet"/>
      <w:lvlText w:val=""/>
      <w:lvlJc w:val="left"/>
      <w:pPr>
        <w:tabs>
          <w:tab w:val="num" w:pos="1440"/>
        </w:tabs>
        <w:ind w:left="1440" w:hanging="360"/>
      </w:pPr>
      <w:rPr>
        <w:rFonts w:ascii="Wingdings 2" w:hAnsi="Wingdings 2" w:hint="default"/>
      </w:rPr>
    </w:lvl>
    <w:lvl w:ilvl="2" w:tplc="D576CC24" w:tentative="1">
      <w:start w:val="1"/>
      <w:numFmt w:val="bullet"/>
      <w:lvlText w:val=""/>
      <w:lvlJc w:val="left"/>
      <w:pPr>
        <w:tabs>
          <w:tab w:val="num" w:pos="2160"/>
        </w:tabs>
        <w:ind w:left="2160" w:hanging="360"/>
      </w:pPr>
      <w:rPr>
        <w:rFonts w:ascii="Wingdings 2" w:hAnsi="Wingdings 2" w:hint="default"/>
      </w:rPr>
    </w:lvl>
    <w:lvl w:ilvl="3" w:tplc="3438CF7C" w:tentative="1">
      <w:start w:val="1"/>
      <w:numFmt w:val="bullet"/>
      <w:lvlText w:val=""/>
      <w:lvlJc w:val="left"/>
      <w:pPr>
        <w:tabs>
          <w:tab w:val="num" w:pos="2880"/>
        </w:tabs>
        <w:ind w:left="2880" w:hanging="360"/>
      </w:pPr>
      <w:rPr>
        <w:rFonts w:ascii="Wingdings 2" w:hAnsi="Wingdings 2" w:hint="default"/>
      </w:rPr>
    </w:lvl>
    <w:lvl w:ilvl="4" w:tplc="66762DCC" w:tentative="1">
      <w:start w:val="1"/>
      <w:numFmt w:val="bullet"/>
      <w:lvlText w:val=""/>
      <w:lvlJc w:val="left"/>
      <w:pPr>
        <w:tabs>
          <w:tab w:val="num" w:pos="3600"/>
        </w:tabs>
        <w:ind w:left="3600" w:hanging="360"/>
      </w:pPr>
      <w:rPr>
        <w:rFonts w:ascii="Wingdings 2" w:hAnsi="Wingdings 2" w:hint="default"/>
      </w:rPr>
    </w:lvl>
    <w:lvl w:ilvl="5" w:tplc="54FE0054" w:tentative="1">
      <w:start w:val="1"/>
      <w:numFmt w:val="bullet"/>
      <w:lvlText w:val=""/>
      <w:lvlJc w:val="left"/>
      <w:pPr>
        <w:tabs>
          <w:tab w:val="num" w:pos="4320"/>
        </w:tabs>
        <w:ind w:left="4320" w:hanging="360"/>
      </w:pPr>
      <w:rPr>
        <w:rFonts w:ascii="Wingdings 2" w:hAnsi="Wingdings 2" w:hint="default"/>
      </w:rPr>
    </w:lvl>
    <w:lvl w:ilvl="6" w:tplc="D65E772C" w:tentative="1">
      <w:start w:val="1"/>
      <w:numFmt w:val="bullet"/>
      <w:lvlText w:val=""/>
      <w:lvlJc w:val="left"/>
      <w:pPr>
        <w:tabs>
          <w:tab w:val="num" w:pos="5040"/>
        </w:tabs>
        <w:ind w:left="5040" w:hanging="360"/>
      </w:pPr>
      <w:rPr>
        <w:rFonts w:ascii="Wingdings 2" w:hAnsi="Wingdings 2" w:hint="default"/>
      </w:rPr>
    </w:lvl>
    <w:lvl w:ilvl="7" w:tplc="2F18073A" w:tentative="1">
      <w:start w:val="1"/>
      <w:numFmt w:val="bullet"/>
      <w:lvlText w:val=""/>
      <w:lvlJc w:val="left"/>
      <w:pPr>
        <w:tabs>
          <w:tab w:val="num" w:pos="5760"/>
        </w:tabs>
        <w:ind w:left="5760" w:hanging="360"/>
      </w:pPr>
      <w:rPr>
        <w:rFonts w:ascii="Wingdings 2" w:hAnsi="Wingdings 2" w:hint="default"/>
      </w:rPr>
    </w:lvl>
    <w:lvl w:ilvl="8" w:tplc="AFDCFD34" w:tentative="1">
      <w:start w:val="1"/>
      <w:numFmt w:val="bullet"/>
      <w:lvlText w:val=""/>
      <w:lvlJc w:val="left"/>
      <w:pPr>
        <w:tabs>
          <w:tab w:val="num" w:pos="6480"/>
        </w:tabs>
        <w:ind w:left="6480" w:hanging="360"/>
      </w:pPr>
      <w:rPr>
        <w:rFonts w:ascii="Wingdings 2" w:hAnsi="Wingdings 2" w:hint="default"/>
      </w:rPr>
    </w:lvl>
  </w:abstractNum>
  <w:abstractNum w:abstractNumId="29">
    <w:nsid w:val="58A74A4E"/>
    <w:multiLevelType w:val="hybridMultilevel"/>
    <w:tmpl w:val="B26E9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ABF4692"/>
    <w:multiLevelType w:val="hybridMultilevel"/>
    <w:tmpl w:val="87A2D0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C3775FA"/>
    <w:multiLevelType w:val="hybridMultilevel"/>
    <w:tmpl w:val="9C28353A"/>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D4A3514"/>
    <w:multiLevelType w:val="hybridMultilevel"/>
    <w:tmpl w:val="0AACD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ED43AFC"/>
    <w:multiLevelType w:val="hybridMultilevel"/>
    <w:tmpl w:val="48543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7527EC2"/>
    <w:multiLevelType w:val="hybridMultilevel"/>
    <w:tmpl w:val="7D362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AB1BE7"/>
    <w:multiLevelType w:val="hybridMultilevel"/>
    <w:tmpl w:val="C3FAF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AAF5E21"/>
    <w:multiLevelType w:val="hybridMultilevel"/>
    <w:tmpl w:val="DDB4F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76B626"/>
    <w:multiLevelType w:val="hybridMultilevel"/>
    <w:tmpl w:val="8F99408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BA53EDC"/>
    <w:multiLevelType w:val="hybridMultilevel"/>
    <w:tmpl w:val="9C5E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3"/>
  </w:num>
  <w:num w:numId="4">
    <w:abstractNumId w:val="3"/>
  </w:num>
  <w:num w:numId="5">
    <w:abstractNumId w:val="24"/>
  </w:num>
  <w:num w:numId="6">
    <w:abstractNumId w:val="37"/>
  </w:num>
  <w:num w:numId="7">
    <w:abstractNumId w:val="2"/>
  </w:num>
  <w:num w:numId="8">
    <w:abstractNumId w:val="5"/>
  </w:num>
  <w:num w:numId="9">
    <w:abstractNumId w:val="10"/>
  </w:num>
  <w:num w:numId="10">
    <w:abstractNumId w:val="9"/>
  </w:num>
  <w:num w:numId="11">
    <w:abstractNumId w:val="6"/>
  </w:num>
  <w:num w:numId="12">
    <w:abstractNumId w:val="26"/>
  </w:num>
  <w:num w:numId="13">
    <w:abstractNumId w:val="0"/>
  </w:num>
  <w:num w:numId="14">
    <w:abstractNumId w:val="16"/>
  </w:num>
  <w:num w:numId="15">
    <w:abstractNumId w:val="12"/>
  </w:num>
  <w:num w:numId="16">
    <w:abstractNumId w:val="34"/>
  </w:num>
  <w:num w:numId="17">
    <w:abstractNumId w:val="27"/>
  </w:num>
  <w:num w:numId="18">
    <w:abstractNumId w:val="33"/>
  </w:num>
  <w:num w:numId="19">
    <w:abstractNumId w:val="29"/>
  </w:num>
  <w:num w:numId="20">
    <w:abstractNumId w:val="11"/>
  </w:num>
  <w:num w:numId="21">
    <w:abstractNumId w:val="21"/>
  </w:num>
  <w:num w:numId="22">
    <w:abstractNumId w:val="36"/>
  </w:num>
  <w:num w:numId="23">
    <w:abstractNumId w:val="17"/>
  </w:num>
  <w:num w:numId="24">
    <w:abstractNumId w:val="31"/>
  </w:num>
  <w:num w:numId="25">
    <w:abstractNumId w:val="14"/>
  </w:num>
  <w:num w:numId="26">
    <w:abstractNumId w:val="38"/>
  </w:num>
  <w:num w:numId="27">
    <w:abstractNumId w:val="15"/>
  </w:num>
  <w:num w:numId="28">
    <w:abstractNumId w:val="19"/>
  </w:num>
  <w:num w:numId="29">
    <w:abstractNumId w:val="28"/>
  </w:num>
  <w:num w:numId="30">
    <w:abstractNumId w:val="32"/>
  </w:num>
  <w:num w:numId="31">
    <w:abstractNumId w:val="20"/>
  </w:num>
  <w:num w:numId="32">
    <w:abstractNumId w:val="25"/>
  </w:num>
  <w:num w:numId="33">
    <w:abstractNumId w:val="30"/>
  </w:num>
  <w:num w:numId="34">
    <w:abstractNumId w:val="22"/>
  </w:num>
  <w:num w:numId="35">
    <w:abstractNumId w:val="35"/>
  </w:num>
  <w:num w:numId="36">
    <w:abstractNumId w:val="8"/>
  </w:num>
  <w:num w:numId="37">
    <w:abstractNumId w:val="18"/>
  </w:num>
  <w:num w:numId="38">
    <w:abstractNumId w:val="7"/>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17409"/>
  </w:hdrShapeDefaults>
  <w:footnotePr>
    <w:footnote w:id="-1"/>
    <w:footnote w:id="0"/>
  </w:footnotePr>
  <w:endnotePr>
    <w:endnote w:id="-1"/>
    <w:endnote w:id="0"/>
  </w:endnotePr>
  <w:compat/>
  <w:rsids>
    <w:rsidRoot w:val="00D17810"/>
    <w:rsid w:val="000020D6"/>
    <w:rsid w:val="000116F0"/>
    <w:rsid w:val="00022A38"/>
    <w:rsid w:val="00025728"/>
    <w:rsid w:val="00025E8D"/>
    <w:rsid w:val="00030D32"/>
    <w:rsid w:val="000319AC"/>
    <w:rsid w:val="000363DE"/>
    <w:rsid w:val="00036549"/>
    <w:rsid w:val="000379E8"/>
    <w:rsid w:val="00041325"/>
    <w:rsid w:val="000442E6"/>
    <w:rsid w:val="00045437"/>
    <w:rsid w:val="00045E9B"/>
    <w:rsid w:val="000539C3"/>
    <w:rsid w:val="00053CD7"/>
    <w:rsid w:val="000553DB"/>
    <w:rsid w:val="00056204"/>
    <w:rsid w:val="00074E2A"/>
    <w:rsid w:val="00075175"/>
    <w:rsid w:val="0007609F"/>
    <w:rsid w:val="00082273"/>
    <w:rsid w:val="000940FA"/>
    <w:rsid w:val="00094AEE"/>
    <w:rsid w:val="000A2012"/>
    <w:rsid w:val="000A5290"/>
    <w:rsid w:val="000B409A"/>
    <w:rsid w:val="000B54DC"/>
    <w:rsid w:val="000B5904"/>
    <w:rsid w:val="000B70F1"/>
    <w:rsid w:val="000B7A4C"/>
    <w:rsid w:val="000C0169"/>
    <w:rsid w:val="000C2229"/>
    <w:rsid w:val="000C3E89"/>
    <w:rsid w:val="000C430B"/>
    <w:rsid w:val="000D2BF0"/>
    <w:rsid w:val="000D3681"/>
    <w:rsid w:val="000D3DEE"/>
    <w:rsid w:val="000D6CD8"/>
    <w:rsid w:val="000D7CB6"/>
    <w:rsid w:val="000E3BFF"/>
    <w:rsid w:val="000E438E"/>
    <w:rsid w:val="000E5B41"/>
    <w:rsid w:val="000E6AB2"/>
    <w:rsid w:val="000F14B4"/>
    <w:rsid w:val="000F34D4"/>
    <w:rsid w:val="000F4EA2"/>
    <w:rsid w:val="000F5CB0"/>
    <w:rsid w:val="00106A2F"/>
    <w:rsid w:val="001110AF"/>
    <w:rsid w:val="001170F8"/>
    <w:rsid w:val="001175A8"/>
    <w:rsid w:val="001223B6"/>
    <w:rsid w:val="001328FC"/>
    <w:rsid w:val="0013421D"/>
    <w:rsid w:val="001419C2"/>
    <w:rsid w:val="00141D5D"/>
    <w:rsid w:val="00145857"/>
    <w:rsid w:val="00151289"/>
    <w:rsid w:val="00154732"/>
    <w:rsid w:val="00154838"/>
    <w:rsid w:val="00154986"/>
    <w:rsid w:val="00160859"/>
    <w:rsid w:val="00167041"/>
    <w:rsid w:val="001703DB"/>
    <w:rsid w:val="00172CE3"/>
    <w:rsid w:val="001738F9"/>
    <w:rsid w:val="0019027C"/>
    <w:rsid w:val="00190DF3"/>
    <w:rsid w:val="00191EF6"/>
    <w:rsid w:val="00192B2E"/>
    <w:rsid w:val="001A1A9C"/>
    <w:rsid w:val="001A2F7A"/>
    <w:rsid w:val="001A60C3"/>
    <w:rsid w:val="001A63D7"/>
    <w:rsid w:val="001A6798"/>
    <w:rsid w:val="001B27DA"/>
    <w:rsid w:val="001C2D2B"/>
    <w:rsid w:val="001D51AE"/>
    <w:rsid w:val="001E4B15"/>
    <w:rsid w:val="001E610A"/>
    <w:rsid w:val="001F1A67"/>
    <w:rsid w:val="001F50EA"/>
    <w:rsid w:val="00202E1D"/>
    <w:rsid w:val="00207303"/>
    <w:rsid w:val="00213C20"/>
    <w:rsid w:val="0021445B"/>
    <w:rsid w:val="00221513"/>
    <w:rsid w:val="00233FE5"/>
    <w:rsid w:val="00234050"/>
    <w:rsid w:val="00242BC9"/>
    <w:rsid w:val="002454D7"/>
    <w:rsid w:val="002460D0"/>
    <w:rsid w:val="00250B6C"/>
    <w:rsid w:val="00252025"/>
    <w:rsid w:val="002565FA"/>
    <w:rsid w:val="00256A60"/>
    <w:rsid w:val="00263EB1"/>
    <w:rsid w:val="002644E4"/>
    <w:rsid w:val="00264762"/>
    <w:rsid w:val="0026617A"/>
    <w:rsid w:val="002749B4"/>
    <w:rsid w:val="00285E0A"/>
    <w:rsid w:val="00290690"/>
    <w:rsid w:val="002907C4"/>
    <w:rsid w:val="00291ECA"/>
    <w:rsid w:val="002939C0"/>
    <w:rsid w:val="00293DF1"/>
    <w:rsid w:val="00294EE6"/>
    <w:rsid w:val="002A00BD"/>
    <w:rsid w:val="002A2565"/>
    <w:rsid w:val="002A3B66"/>
    <w:rsid w:val="002B0030"/>
    <w:rsid w:val="002B13F9"/>
    <w:rsid w:val="002B17B4"/>
    <w:rsid w:val="002B5ABB"/>
    <w:rsid w:val="002C4841"/>
    <w:rsid w:val="002D67C0"/>
    <w:rsid w:val="002E1D8A"/>
    <w:rsid w:val="002E2FFC"/>
    <w:rsid w:val="002F0967"/>
    <w:rsid w:val="002F30E5"/>
    <w:rsid w:val="002F3960"/>
    <w:rsid w:val="002F74F4"/>
    <w:rsid w:val="00304A5E"/>
    <w:rsid w:val="0031355B"/>
    <w:rsid w:val="003245A4"/>
    <w:rsid w:val="003323F6"/>
    <w:rsid w:val="003331B5"/>
    <w:rsid w:val="00333C95"/>
    <w:rsid w:val="0034015C"/>
    <w:rsid w:val="00343D08"/>
    <w:rsid w:val="003460F0"/>
    <w:rsid w:val="00346499"/>
    <w:rsid w:val="003467E4"/>
    <w:rsid w:val="003524CD"/>
    <w:rsid w:val="00353CAF"/>
    <w:rsid w:val="00356072"/>
    <w:rsid w:val="00364FD2"/>
    <w:rsid w:val="0036647C"/>
    <w:rsid w:val="00371EFE"/>
    <w:rsid w:val="00392C61"/>
    <w:rsid w:val="00396022"/>
    <w:rsid w:val="003A77DC"/>
    <w:rsid w:val="003D7E81"/>
    <w:rsid w:val="003E0490"/>
    <w:rsid w:val="003E21A9"/>
    <w:rsid w:val="003E5A97"/>
    <w:rsid w:val="003F697F"/>
    <w:rsid w:val="003F7AEC"/>
    <w:rsid w:val="00402CAB"/>
    <w:rsid w:val="00403C5B"/>
    <w:rsid w:val="0041200D"/>
    <w:rsid w:val="00420D49"/>
    <w:rsid w:val="00424E0A"/>
    <w:rsid w:val="004307F4"/>
    <w:rsid w:val="0043188B"/>
    <w:rsid w:val="00433554"/>
    <w:rsid w:val="00434687"/>
    <w:rsid w:val="00442C3E"/>
    <w:rsid w:val="004513E8"/>
    <w:rsid w:val="00451746"/>
    <w:rsid w:val="00452144"/>
    <w:rsid w:val="00455950"/>
    <w:rsid w:val="00456896"/>
    <w:rsid w:val="0046223A"/>
    <w:rsid w:val="004628C1"/>
    <w:rsid w:val="00463D57"/>
    <w:rsid w:val="00472F54"/>
    <w:rsid w:val="00483613"/>
    <w:rsid w:val="00487081"/>
    <w:rsid w:val="0049767E"/>
    <w:rsid w:val="004B6146"/>
    <w:rsid w:val="004B7DD5"/>
    <w:rsid w:val="004D0C3E"/>
    <w:rsid w:val="004D41F4"/>
    <w:rsid w:val="004D64D5"/>
    <w:rsid w:val="004D77BE"/>
    <w:rsid w:val="004E1767"/>
    <w:rsid w:val="004F4831"/>
    <w:rsid w:val="004F642D"/>
    <w:rsid w:val="00501869"/>
    <w:rsid w:val="0050370A"/>
    <w:rsid w:val="00515885"/>
    <w:rsid w:val="00526D10"/>
    <w:rsid w:val="005310A6"/>
    <w:rsid w:val="00534573"/>
    <w:rsid w:val="005369A0"/>
    <w:rsid w:val="00543F74"/>
    <w:rsid w:val="00544687"/>
    <w:rsid w:val="005469EE"/>
    <w:rsid w:val="00550C40"/>
    <w:rsid w:val="00552A2F"/>
    <w:rsid w:val="005561D4"/>
    <w:rsid w:val="00570800"/>
    <w:rsid w:val="0057169E"/>
    <w:rsid w:val="005813F6"/>
    <w:rsid w:val="005816D2"/>
    <w:rsid w:val="0058372D"/>
    <w:rsid w:val="00590A43"/>
    <w:rsid w:val="00591220"/>
    <w:rsid w:val="005A27A8"/>
    <w:rsid w:val="005A456C"/>
    <w:rsid w:val="005A5515"/>
    <w:rsid w:val="005B175A"/>
    <w:rsid w:val="005C58BD"/>
    <w:rsid w:val="005D014D"/>
    <w:rsid w:val="005D0532"/>
    <w:rsid w:val="005D52AF"/>
    <w:rsid w:val="005D545E"/>
    <w:rsid w:val="005D66D2"/>
    <w:rsid w:val="005D78FF"/>
    <w:rsid w:val="005E04E9"/>
    <w:rsid w:val="005F6A08"/>
    <w:rsid w:val="005F73DC"/>
    <w:rsid w:val="00600091"/>
    <w:rsid w:val="00605B14"/>
    <w:rsid w:val="00607728"/>
    <w:rsid w:val="0061009F"/>
    <w:rsid w:val="006101BC"/>
    <w:rsid w:val="00613738"/>
    <w:rsid w:val="00613BC0"/>
    <w:rsid w:val="006140AA"/>
    <w:rsid w:val="00616812"/>
    <w:rsid w:val="00630413"/>
    <w:rsid w:val="00632249"/>
    <w:rsid w:val="006337D6"/>
    <w:rsid w:val="00633F30"/>
    <w:rsid w:val="00636CD5"/>
    <w:rsid w:val="0064321A"/>
    <w:rsid w:val="006547C2"/>
    <w:rsid w:val="0065497A"/>
    <w:rsid w:val="006642D9"/>
    <w:rsid w:val="006652F1"/>
    <w:rsid w:val="00666FF5"/>
    <w:rsid w:val="0067476A"/>
    <w:rsid w:val="00683E49"/>
    <w:rsid w:val="006925C3"/>
    <w:rsid w:val="00696643"/>
    <w:rsid w:val="00697D66"/>
    <w:rsid w:val="006A1096"/>
    <w:rsid w:val="006A1544"/>
    <w:rsid w:val="006B521A"/>
    <w:rsid w:val="006C0D4E"/>
    <w:rsid w:val="006C2843"/>
    <w:rsid w:val="006C6538"/>
    <w:rsid w:val="006C777F"/>
    <w:rsid w:val="006D1B93"/>
    <w:rsid w:val="006E03DC"/>
    <w:rsid w:val="006E0EF6"/>
    <w:rsid w:val="006E65E0"/>
    <w:rsid w:val="006F0946"/>
    <w:rsid w:val="006F0A34"/>
    <w:rsid w:val="006F0EC1"/>
    <w:rsid w:val="006F15A3"/>
    <w:rsid w:val="006F515D"/>
    <w:rsid w:val="006F51E1"/>
    <w:rsid w:val="00701C92"/>
    <w:rsid w:val="007039CE"/>
    <w:rsid w:val="00710FA2"/>
    <w:rsid w:val="007224FD"/>
    <w:rsid w:val="00724EA7"/>
    <w:rsid w:val="00724F1F"/>
    <w:rsid w:val="007257A1"/>
    <w:rsid w:val="0073359C"/>
    <w:rsid w:val="007344DA"/>
    <w:rsid w:val="00735465"/>
    <w:rsid w:val="0074478F"/>
    <w:rsid w:val="007501F6"/>
    <w:rsid w:val="00761A9D"/>
    <w:rsid w:val="007631D8"/>
    <w:rsid w:val="00767324"/>
    <w:rsid w:val="007720A1"/>
    <w:rsid w:val="007777C1"/>
    <w:rsid w:val="00777AE1"/>
    <w:rsid w:val="007824E6"/>
    <w:rsid w:val="0078564A"/>
    <w:rsid w:val="00791EB8"/>
    <w:rsid w:val="007933A8"/>
    <w:rsid w:val="007A25FE"/>
    <w:rsid w:val="007A42E3"/>
    <w:rsid w:val="007A4C34"/>
    <w:rsid w:val="007A4F4C"/>
    <w:rsid w:val="007A5204"/>
    <w:rsid w:val="007B0EB0"/>
    <w:rsid w:val="007B2F88"/>
    <w:rsid w:val="007B75D8"/>
    <w:rsid w:val="007C30BE"/>
    <w:rsid w:val="007C5026"/>
    <w:rsid w:val="007C6AA4"/>
    <w:rsid w:val="007D15E6"/>
    <w:rsid w:val="007E3242"/>
    <w:rsid w:val="007E5EAC"/>
    <w:rsid w:val="007F1B1F"/>
    <w:rsid w:val="007F2468"/>
    <w:rsid w:val="007F4B0C"/>
    <w:rsid w:val="00801C54"/>
    <w:rsid w:val="008247A5"/>
    <w:rsid w:val="008312BA"/>
    <w:rsid w:val="00832804"/>
    <w:rsid w:val="00835497"/>
    <w:rsid w:val="00835EE7"/>
    <w:rsid w:val="00835F2F"/>
    <w:rsid w:val="00837556"/>
    <w:rsid w:val="00844E50"/>
    <w:rsid w:val="00847A10"/>
    <w:rsid w:val="00854905"/>
    <w:rsid w:val="00855597"/>
    <w:rsid w:val="00871728"/>
    <w:rsid w:val="008717F7"/>
    <w:rsid w:val="00885FAA"/>
    <w:rsid w:val="00891B22"/>
    <w:rsid w:val="008A400C"/>
    <w:rsid w:val="008A4014"/>
    <w:rsid w:val="008A78E8"/>
    <w:rsid w:val="008B261F"/>
    <w:rsid w:val="008B35EA"/>
    <w:rsid w:val="008B6E6D"/>
    <w:rsid w:val="008B75A6"/>
    <w:rsid w:val="008C2725"/>
    <w:rsid w:val="008C56B6"/>
    <w:rsid w:val="008D3308"/>
    <w:rsid w:val="008D3A48"/>
    <w:rsid w:val="008D71BC"/>
    <w:rsid w:val="008E5F0C"/>
    <w:rsid w:val="008F0A8E"/>
    <w:rsid w:val="008F42E5"/>
    <w:rsid w:val="008F42FE"/>
    <w:rsid w:val="008F6CC5"/>
    <w:rsid w:val="0090154B"/>
    <w:rsid w:val="0090175C"/>
    <w:rsid w:val="00913566"/>
    <w:rsid w:val="009137BE"/>
    <w:rsid w:val="00915FD4"/>
    <w:rsid w:val="00916230"/>
    <w:rsid w:val="0092461D"/>
    <w:rsid w:val="00924C3E"/>
    <w:rsid w:val="009250D7"/>
    <w:rsid w:val="009265C4"/>
    <w:rsid w:val="0092741C"/>
    <w:rsid w:val="00932F7A"/>
    <w:rsid w:val="0093432E"/>
    <w:rsid w:val="00934E54"/>
    <w:rsid w:val="00937DED"/>
    <w:rsid w:val="00944C52"/>
    <w:rsid w:val="009460FB"/>
    <w:rsid w:val="00946B90"/>
    <w:rsid w:val="00947272"/>
    <w:rsid w:val="009520D1"/>
    <w:rsid w:val="00955E2B"/>
    <w:rsid w:val="00962C0D"/>
    <w:rsid w:val="0096305D"/>
    <w:rsid w:val="009642F2"/>
    <w:rsid w:val="009764FE"/>
    <w:rsid w:val="0098316D"/>
    <w:rsid w:val="00985C85"/>
    <w:rsid w:val="00987E17"/>
    <w:rsid w:val="00995971"/>
    <w:rsid w:val="009B224F"/>
    <w:rsid w:val="009C37C0"/>
    <w:rsid w:val="009C6192"/>
    <w:rsid w:val="009C6926"/>
    <w:rsid w:val="009D3335"/>
    <w:rsid w:val="009D5233"/>
    <w:rsid w:val="009E0629"/>
    <w:rsid w:val="009E128D"/>
    <w:rsid w:val="009E2B54"/>
    <w:rsid w:val="009F5A1E"/>
    <w:rsid w:val="00A0183C"/>
    <w:rsid w:val="00A03DE9"/>
    <w:rsid w:val="00A06F5D"/>
    <w:rsid w:val="00A1151A"/>
    <w:rsid w:val="00A32B98"/>
    <w:rsid w:val="00A33F3A"/>
    <w:rsid w:val="00A43C47"/>
    <w:rsid w:val="00A446AC"/>
    <w:rsid w:val="00A50514"/>
    <w:rsid w:val="00A622EC"/>
    <w:rsid w:val="00A76E47"/>
    <w:rsid w:val="00A80876"/>
    <w:rsid w:val="00A855C8"/>
    <w:rsid w:val="00A85B25"/>
    <w:rsid w:val="00AA1779"/>
    <w:rsid w:val="00AA3329"/>
    <w:rsid w:val="00AA4BF3"/>
    <w:rsid w:val="00AA537E"/>
    <w:rsid w:val="00AA6096"/>
    <w:rsid w:val="00AB7370"/>
    <w:rsid w:val="00AC09A9"/>
    <w:rsid w:val="00AC2E5A"/>
    <w:rsid w:val="00AC7DC0"/>
    <w:rsid w:val="00AD44EA"/>
    <w:rsid w:val="00AD5B5A"/>
    <w:rsid w:val="00AD5D6E"/>
    <w:rsid w:val="00AD694A"/>
    <w:rsid w:val="00AE68AB"/>
    <w:rsid w:val="00AF4F44"/>
    <w:rsid w:val="00AF6EC5"/>
    <w:rsid w:val="00B03240"/>
    <w:rsid w:val="00B05D9E"/>
    <w:rsid w:val="00B061D5"/>
    <w:rsid w:val="00B101C5"/>
    <w:rsid w:val="00B11619"/>
    <w:rsid w:val="00B17B37"/>
    <w:rsid w:val="00B20FE9"/>
    <w:rsid w:val="00B23927"/>
    <w:rsid w:val="00B3390A"/>
    <w:rsid w:val="00B35EB6"/>
    <w:rsid w:val="00B42C72"/>
    <w:rsid w:val="00B42E0A"/>
    <w:rsid w:val="00B45E93"/>
    <w:rsid w:val="00B46B0C"/>
    <w:rsid w:val="00B53A98"/>
    <w:rsid w:val="00B57C15"/>
    <w:rsid w:val="00B6416D"/>
    <w:rsid w:val="00B65A7C"/>
    <w:rsid w:val="00B71B23"/>
    <w:rsid w:val="00B756EF"/>
    <w:rsid w:val="00B83138"/>
    <w:rsid w:val="00B83212"/>
    <w:rsid w:val="00B84C3E"/>
    <w:rsid w:val="00B86CEB"/>
    <w:rsid w:val="00B92CBF"/>
    <w:rsid w:val="00B93A2B"/>
    <w:rsid w:val="00BA3DCC"/>
    <w:rsid w:val="00BB2A3A"/>
    <w:rsid w:val="00BB5B70"/>
    <w:rsid w:val="00BB5FDE"/>
    <w:rsid w:val="00BB73CB"/>
    <w:rsid w:val="00BC289E"/>
    <w:rsid w:val="00BC465B"/>
    <w:rsid w:val="00BC6A0E"/>
    <w:rsid w:val="00BD6E0E"/>
    <w:rsid w:val="00BE0EBF"/>
    <w:rsid w:val="00BE1182"/>
    <w:rsid w:val="00BE16EF"/>
    <w:rsid w:val="00BE23A4"/>
    <w:rsid w:val="00BF6F4B"/>
    <w:rsid w:val="00C05C7C"/>
    <w:rsid w:val="00C1567C"/>
    <w:rsid w:val="00C33DC3"/>
    <w:rsid w:val="00C354AD"/>
    <w:rsid w:val="00C430C4"/>
    <w:rsid w:val="00C466BC"/>
    <w:rsid w:val="00C473E2"/>
    <w:rsid w:val="00C536C2"/>
    <w:rsid w:val="00C5539E"/>
    <w:rsid w:val="00C60304"/>
    <w:rsid w:val="00C63BC5"/>
    <w:rsid w:val="00C73FF6"/>
    <w:rsid w:val="00C74B0B"/>
    <w:rsid w:val="00C77022"/>
    <w:rsid w:val="00C8763F"/>
    <w:rsid w:val="00C91154"/>
    <w:rsid w:val="00C94CBF"/>
    <w:rsid w:val="00CA0277"/>
    <w:rsid w:val="00CA1AA3"/>
    <w:rsid w:val="00CA2665"/>
    <w:rsid w:val="00CA55CB"/>
    <w:rsid w:val="00CA7B19"/>
    <w:rsid w:val="00CB0C22"/>
    <w:rsid w:val="00CB2E2A"/>
    <w:rsid w:val="00CC2F6A"/>
    <w:rsid w:val="00CD1A37"/>
    <w:rsid w:val="00CD367B"/>
    <w:rsid w:val="00CD4046"/>
    <w:rsid w:val="00CE0C5D"/>
    <w:rsid w:val="00CE4606"/>
    <w:rsid w:val="00CE4767"/>
    <w:rsid w:val="00CF5391"/>
    <w:rsid w:val="00D01402"/>
    <w:rsid w:val="00D0152C"/>
    <w:rsid w:val="00D0358E"/>
    <w:rsid w:val="00D05AE8"/>
    <w:rsid w:val="00D06D5C"/>
    <w:rsid w:val="00D1158A"/>
    <w:rsid w:val="00D14A19"/>
    <w:rsid w:val="00D169D0"/>
    <w:rsid w:val="00D1740C"/>
    <w:rsid w:val="00D17810"/>
    <w:rsid w:val="00D26656"/>
    <w:rsid w:val="00D3064F"/>
    <w:rsid w:val="00D31414"/>
    <w:rsid w:val="00D34C1D"/>
    <w:rsid w:val="00D43E31"/>
    <w:rsid w:val="00D453B1"/>
    <w:rsid w:val="00D5597A"/>
    <w:rsid w:val="00D562A3"/>
    <w:rsid w:val="00D60160"/>
    <w:rsid w:val="00D60E2A"/>
    <w:rsid w:val="00D60FD2"/>
    <w:rsid w:val="00D62E88"/>
    <w:rsid w:val="00D644C7"/>
    <w:rsid w:val="00D70CAF"/>
    <w:rsid w:val="00D80B72"/>
    <w:rsid w:val="00D85A79"/>
    <w:rsid w:val="00D865E9"/>
    <w:rsid w:val="00D92D58"/>
    <w:rsid w:val="00D94403"/>
    <w:rsid w:val="00D976EC"/>
    <w:rsid w:val="00DA061D"/>
    <w:rsid w:val="00DB6A5B"/>
    <w:rsid w:val="00DB75F9"/>
    <w:rsid w:val="00DC1F80"/>
    <w:rsid w:val="00DC2E19"/>
    <w:rsid w:val="00DD05B8"/>
    <w:rsid w:val="00DD205C"/>
    <w:rsid w:val="00DF3FE1"/>
    <w:rsid w:val="00DF749F"/>
    <w:rsid w:val="00E044B4"/>
    <w:rsid w:val="00E10BC7"/>
    <w:rsid w:val="00E12E6E"/>
    <w:rsid w:val="00E21B8F"/>
    <w:rsid w:val="00E36742"/>
    <w:rsid w:val="00E36AC6"/>
    <w:rsid w:val="00E40EC0"/>
    <w:rsid w:val="00E43056"/>
    <w:rsid w:val="00E460F3"/>
    <w:rsid w:val="00E46940"/>
    <w:rsid w:val="00E550C0"/>
    <w:rsid w:val="00E55966"/>
    <w:rsid w:val="00E56A97"/>
    <w:rsid w:val="00E60148"/>
    <w:rsid w:val="00E65359"/>
    <w:rsid w:val="00E669C3"/>
    <w:rsid w:val="00E7077F"/>
    <w:rsid w:val="00E71FD3"/>
    <w:rsid w:val="00E935D2"/>
    <w:rsid w:val="00E942D1"/>
    <w:rsid w:val="00EA300C"/>
    <w:rsid w:val="00EA4C22"/>
    <w:rsid w:val="00EB0909"/>
    <w:rsid w:val="00EB19E5"/>
    <w:rsid w:val="00EB2B6E"/>
    <w:rsid w:val="00EB466F"/>
    <w:rsid w:val="00EB49CE"/>
    <w:rsid w:val="00ED54C0"/>
    <w:rsid w:val="00ED5A02"/>
    <w:rsid w:val="00EF10EE"/>
    <w:rsid w:val="00EF1100"/>
    <w:rsid w:val="00EF3CA1"/>
    <w:rsid w:val="00F05F2C"/>
    <w:rsid w:val="00F10062"/>
    <w:rsid w:val="00F134A5"/>
    <w:rsid w:val="00F25191"/>
    <w:rsid w:val="00F31A91"/>
    <w:rsid w:val="00F3388F"/>
    <w:rsid w:val="00F3547B"/>
    <w:rsid w:val="00F47009"/>
    <w:rsid w:val="00F50FE2"/>
    <w:rsid w:val="00F52552"/>
    <w:rsid w:val="00F54CE7"/>
    <w:rsid w:val="00F55DDC"/>
    <w:rsid w:val="00F57CA4"/>
    <w:rsid w:val="00F63114"/>
    <w:rsid w:val="00F63BDC"/>
    <w:rsid w:val="00F67681"/>
    <w:rsid w:val="00F72B35"/>
    <w:rsid w:val="00F7357C"/>
    <w:rsid w:val="00F75024"/>
    <w:rsid w:val="00F80D63"/>
    <w:rsid w:val="00F827A9"/>
    <w:rsid w:val="00F86F7F"/>
    <w:rsid w:val="00FA7467"/>
    <w:rsid w:val="00FB4455"/>
    <w:rsid w:val="00FB7090"/>
    <w:rsid w:val="00FB7E14"/>
    <w:rsid w:val="00FC59FD"/>
    <w:rsid w:val="00FD0563"/>
    <w:rsid w:val="00FE7775"/>
    <w:rsid w:val="00FF0259"/>
    <w:rsid w:val="00FF3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022"/>
  </w:style>
  <w:style w:type="paragraph" w:styleId="Heading1">
    <w:name w:val="heading 1"/>
    <w:basedOn w:val="Normal"/>
    <w:next w:val="Normal"/>
    <w:qFormat/>
    <w:rsid w:val="00396022"/>
    <w:pPr>
      <w:keepNext/>
      <w:spacing w:before="240" w:after="60"/>
      <w:outlineLvl w:val="0"/>
    </w:pPr>
    <w:rPr>
      <w:rFonts w:ascii="Arial" w:hAnsi="Arial"/>
      <w:b/>
      <w:kern w:val="28"/>
      <w:sz w:val="28"/>
    </w:rPr>
  </w:style>
  <w:style w:type="paragraph" w:styleId="Heading4">
    <w:name w:val="heading 4"/>
    <w:basedOn w:val="Normal"/>
    <w:next w:val="Normal"/>
    <w:qFormat/>
    <w:rsid w:val="00294EE6"/>
    <w:pPr>
      <w:keepNext/>
      <w:spacing w:before="240" w:after="60"/>
      <w:outlineLvl w:val="3"/>
    </w:pPr>
    <w:rPr>
      <w:b/>
      <w:bCs/>
      <w:sz w:val="28"/>
      <w:szCs w:val="28"/>
    </w:rPr>
  </w:style>
  <w:style w:type="paragraph" w:styleId="Heading5">
    <w:name w:val="heading 5"/>
    <w:basedOn w:val="Normal"/>
    <w:next w:val="Normal"/>
    <w:qFormat/>
    <w:rsid w:val="00294EE6"/>
    <w:pPr>
      <w:spacing w:before="240" w:after="60"/>
      <w:outlineLvl w:val="4"/>
    </w:pPr>
    <w:rPr>
      <w:b/>
      <w:bCs/>
      <w:i/>
      <w:iCs/>
      <w:sz w:val="26"/>
      <w:szCs w:val="26"/>
    </w:rPr>
  </w:style>
  <w:style w:type="paragraph" w:styleId="Heading6">
    <w:name w:val="heading 6"/>
    <w:basedOn w:val="Normal"/>
    <w:next w:val="Normal"/>
    <w:qFormat/>
    <w:rsid w:val="00294EE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6022"/>
    <w:pPr>
      <w:tabs>
        <w:tab w:val="center" w:pos="4320"/>
        <w:tab w:val="right" w:pos="8640"/>
      </w:tabs>
    </w:pPr>
  </w:style>
  <w:style w:type="paragraph" w:styleId="Footer">
    <w:name w:val="footer"/>
    <w:basedOn w:val="Normal"/>
    <w:link w:val="FooterChar"/>
    <w:uiPriority w:val="99"/>
    <w:rsid w:val="00396022"/>
    <w:pPr>
      <w:tabs>
        <w:tab w:val="center" w:pos="4320"/>
        <w:tab w:val="right" w:pos="8640"/>
      </w:tabs>
    </w:pPr>
  </w:style>
  <w:style w:type="paragraph" w:styleId="BodyText">
    <w:name w:val="Body Text"/>
    <w:basedOn w:val="Normal"/>
    <w:rsid w:val="00396022"/>
    <w:pPr>
      <w:spacing w:after="120"/>
    </w:pPr>
  </w:style>
  <w:style w:type="character" w:styleId="PageNumber">
    <w:name w:val="page number"/>
    <w:basedOn w:val="DefaultParagraphFont"/>
    <w:rsid w:val="00396022"/>
  </w:style>
  <w:style w:type="paragraph" w:styleId="Caption">
    <w:name w:val="caption"/>
    <w:basedOn w:val="Normal"/>
    <w:next w:val="Normal"/>
    <w:qFormat/>
    <w:rsid w:val="00396022"/>
    <w:pPr>
      <w:jc w:val="right"/>
    </w:pPr>
    <w:rPr>
      <w:sz w:val="24"/>
    </w:rPr>
  </w:style>
  <w:style w:type="paragraph" w:customStyle="1" w:styleId="Default">
    <w:name w:val="Default"/>
    <w:rsid w:val="00B03240"/>
    <w:pPr>
      <w:autoSpaceDE w:val="0"/>
      <w:autoSpaceDN w:val="0"/>
      <w:adjustRightInd w:val="0"/>
    </w:pPr>
    <w:rPr>
      <w:color w:val="000000"/>
      <w:sz w:val="24"/>
      <w:szCs w:val="24"/>
    </w:rPr>
  </w:style>
  <w:style w:type="paragraph" w:styleId="BodyTextIndent">
    <w:name w:val="Body Text Indent"/>
    <w:basedOn w:val="Normal"/>
    <w:rsid w:val="00294EE6"/>
    <w:pPr>
      <w:spacing w:after="120"/>
      <w:ind w:left="360"/>
    </w:pPr>
  </w:style>
  <w:style w:type="paragraph" w:styleId="BodyText2">
    <w:name w:val="Body Text 2"/>
    <w:basedOn w:val="Normal"/>
    <w:rsid w:val="00294EE6"/>
    <w:pPr>
      <w:spacing w:after="120" w:line="480" w:lineRule="auto"/>
    </w:pPr>
  </w:style>
  <w:style w:type="paragraph" w:styleId="Title">
    <w:name w:val="Title"/>
    <w:basedOn w:val="Default"/>
    <w:next w:val="Default"/>
    <w:qFormat/>
    <w:rsid w:val="00294EE6"/>
    <w:rPr>
      <w:color w:val="auto"/>
    </w:rPr>
  </w:style>
  <w:style w:type="character" w:styleId="Emphasis">
    <w:name w:val="Emphasis"/>
    <w:qFormat/>
    <w:rsid w:val="007933A8"/>
    <w:rPr>
      <w:i/>
      <w:iCs/>
    </w:rPr>
  </w:style>
  <w:style w:type="paragraph" w:styleId="FootnoteText">
    <w:name w:val="footnote text"/>
    <w:basedOn w:val="Normal"/>
    <w:link w:val="FootnoteTextChar"/>
    <w:uiPriority w:val="99"/>
    <w:unhideWhenUsed/>
    <w:rsid w:val="00402CAB"/>
    <w:rPr>
      <w:rFonts w:ascii="Calibri" w:eastAsia="Calibri" w:hAnsi="Calibri"/>
    </w:rPr>
  </w:style>
  <w:style w:type="character" w:customStyle="1" w:styleId="FootnoteTextChar">
    <w:name w:val="Footnote Text Char"/>
    <w:link w:val="FootnoteText"/>
    <w:uiPriority w:val="99"/>
    <w:rsid w:val="00402CAB"/>
    <w:rPr>
      <w:rFonts w:ascii="Calibri" w:eastAsia="Calibri" w:hAnsi="Calibri"/>
    </w:rPr>
  </w:style>
  <w:style w:type="character" w:styleId="FootnoteReference">
    <w:name w:val="footnote reference"/>
    <w:uiPriority w:val="99"/>
    <w:unhideWhenUsed/>
    <w:rsid w:val="00402CAB"/>
    <w:rPr>
      <w:vertAlign w:val="superscript"/>
    </w:rPr>
  </w:style>
  <w:style w:type="paragraph" w:styleId="NoSpacing">
    <w:name w:val="No Spacing"/>
    <w:uiPriority w:val="1"/>
    <w:qFormat/>
    <w:rsid w:val="005E04E9"/>
    <w:rPr>
      <w:rFonts w:ascii="Calibri" w:eastAsia="Calibri" w:hAnsi="Calibri"/>
      <w:sz w:val="22"/>
      <w:szCs w:val="22"/>
    </w:rPr>
  </w:style>
  <w:style w:type="paragraph" w:styleId="BalloonText">
    <w:name w:val="Balloon Text"/>
    <w:basedOn w:val="Normal"/>
    <w:link w:val="BalloonTextChar"/>
    <w:rsid w:val="00D0358E"/>
    <w:rPr>
      <w:rFonts w:ascii="Tahoma" w:hAnsi="Tahoma"/>
      <w:sz w:val="16"/>
      <w:szCs w:val="16"/>
    </w:rPr>
  </w:style>
  <w:style w:type="character" w:customStyle="1" w:styleId="BalloonTextChar">
    <w:name w:val="Balloon Text Char"/>
    <w:link w:val="BalloonText"/>
    <w:rsid w:val="00D0358E"/>
    <w:rPr>
      <w:rFonts w:ascii="Tahoma" w:hAnsi="Tahoma" w:cs="Tahoma"/>
      <w:sz w:val="16"/>
      <w:szCs w:val="16"/>
    </w:rPr>
  </w:style>
  <w:style w:type="character" w:styleId="CommentReference">
    <w:name w:val="annotation reference"/>
    <w:uiPriority w:val="99"/>
    <w:unhideWhenUsed/>
    <w:rsid w:val="006925C3"/>
    <w:rPr>
      <w:sz w:val="16"/>
      <w:szCs w:val="16"/>
    </w:rPr>
  </w:style>
  <w:style w:type="paragraph" w:styleId="CommentText">
    <w:name w:val="annotation text"/>
    <w:basedOn w:val="Normal"/>
    <w:link w:val="CommentTextChar"/>
    <w:uiPriority w:val="99"/>
    <w:unhideWhenUsed/>
    <w:rsid w:val="006925C3"/>
    <w:rPr>
      <w:rFonts w:ascii="Calibri" w:eastAsia="Calibri" w:hAnsi="Calibri"/>
    </w:rPr>
  </w:style>
  <w:style w:type="character" w:customStyle="1" w:styleId="CommentTextChar">
    <w:name w:val="Comment Text Char"/>
    <w:link w:val="CommentText"/>
    <w:uiPriority w:val="99"/>
    <w:rsid w:val="006925C3"/>
    <w:rPr>
      <w:rFonts w:ascii="Calibri" w:eastAsia="Calibri" w:hAnsi="Calibri"/>
    </w:rPr>
  </w:style>
  <w:style w:type="paragraph" w:styleId="ListParagraph">
    <w:name w:val="List Paragraph"/>
    <w:basedOn w:val="Normal"/>
    <w:uiPriority w:val="34"/>
    <w:qFormat/>
    <w:rsid w:val="00ED54C0"/>
    <w:pPr>
      <w:ind w:left="720"/>
      <w:contextualSpacing/>
    </w:pPr>
    <w:rPr>
      <w:rFonts w:ascii="Calibri" w:eastAsia="Calibri" w:hAnsi="Calibri"/>
      <w:sz w:val="22"/>
      <w:szCs w:val="22"/>
    </w:rPr>
  </w:style>
  <w:style w:type="character" w:styleId="Hyperlink">
    <w:name w:val="Hyperlink"/>
    <w:rsid w:val="00D976EC"/>
    <w:rPr>
      <w:color w:val="0000FF"/>
      <w:u w:val="single"/>
    </w:rPr>
  </w:style>
  <w:style w:type="paragraph" w:styleId="CommentSubject">
    <w:name w:val="annotation subject"/>
    <w:basedOn w:val="CommentText"/>
    <w:next w:val="CommentText"/>
    <w:link w:val="CommentSubjectChar"/>
    <w:rsid w:val="00B83212"/>
    <w:rPr>
      <w:b/>
      <w:bCs/>
    </w:rPr>
  </w:style>
  <w:style w:type="character" w:customStyle="1" w:styleId="CommentSubjectChar">
    <w:name w:val="Comment Subject Char"/>
    <w:link w:val="CommentSubject"/>
    <w:rsid w:val="00B83212"/>
    <w:rPr>
      <w:rFonts w:ascii="Calibri" w:eastAsia="Calibri" w:hAnsi="Calibri"/>
      <w:b/>
      <w:bCs/>
    </w:rPr>
  </w:style>
  <w:style w:type="paragraph" w:styleId="NormalWeb">
    <w:name w:val="Normal (Web)"/>
    <w:basedOn w:val="Normal"/>
    <w:uiPriority w:val="99"/>
    <w:unhideWhenUsed/>
    <w:rsid w:val="00E40EC0"/>
    <w:pPr>
      <w:spacing w:before="100" w:beforeAutospacing="1" w:after="100" w:afterAutospacing="1"/>
    </w:pPr>
    <w:rPr>
      <w:sz w:val="24"/>
      <w:szCs w:val="24"/>
    </w:rPr>
  </w:style>
  <w:style w:type="character" w:styleId="FollowedHyperlink">
    <w:name w:val="FollowedHyperlink"/>
    <w:rsid w:val="004B6146"/>
    <w:rPr>
      <w:color w:val="800080"/>
      <w:u w:val="single"/>
    </w:rPr>
  </w:style>
  <w:style w:type="character" w:customStyle="1" w:styleId="FooterChar">
    <w:name w:val="Footer Char"/>
    <w:link w:val="Footer"/>
    <w:uiPriority w:val="99"/>
    <w:rsid w:val="00666FF5"/>
  </w:style>
  <w:style w:type="character" w:customStyle="1" w:styleId="HeaderChar">
    <w:name w:val="Header Char"/>
    <w:basedOn w:val="DefaultParagraphFont"/>
    <w:link w:val="Header"/>
    <w:uiPriority w:val="99"/>
    <w:rsid w:val="002B17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022"/>
  </w:style>
  <w:style w:type="paragraph" w:styleId="Heading1">
    <w:name w:val="heading 1"/>
    <w:basedOn w:val="Normal"/>
    <w:next w:val="Normal"/>
    <w:qFormat/>
    <w:rsid w:val="00396022"/>
    <w:pPr>
      <w:keepNext/>
      <w:spacing w:before="240" w:after="60"/>
      <w:outlineLvl w:val="0"/>
    </w:pPr>
    <w:rPr>
      <w:rFonts w:ascii="Arial" w:hAnsi="Arial"/>
      <w:b/>
      <w:kern w:val="28"/>
      <w:sz w:val="28"/>
    </w:rPr>
  </w:style>
  <w:style w:type="paragraph" w:styleId="Heading4">
    <w:name w:val="heading 4"/>
    <w:basedOn w:val="Normal"/>
    <w:next w:val="Normal"/>
    <w:qFormat/>
    <w:rsid w:val="00294EE6"/>
    <w:pPr>
      <w:keepNext/>
      <w:spacing w:before="240" w:after="60"/>
      <w:outlineLvl w:val="3"/>
    </w:pPr>
    <w:rPr>
      <w:b/>
      <w:bCs/>
      <w:sz w:val="28"/>
      <w:szCs w:val="28"/>
    </w:rPr>
  </w:style>
  <w:style w:type="paragraph" w:styleId="Heading5">
    <w:name w:val="heading 5"/>
    <w:basedOn w:val="Normal"/>
    <w:next w:val="Normal"/>
    <w:qFormat/>
    <w:rsid w:val="00294EE6"/>
    <w:pPr>
      <w:spacing w:before="240" w:after="60"/>
      <w:outlineLvl w:val="4"/>
    </w:pPr>
    <w:rPr>
      <w:b/>
      <w:bCs/>
      <w:i/>
      <w:iCs/>
      <w:sz w:val="26"/>
      <w:szCs w:val="26"/>
    </w:rPr>
  </w:style>
  <w:style w:type="paragraph" w:styleId="Heading6">
    <w:name w:val="heading 6"/>
    <w:basedOn w:val="Normal"/>
    <w:next w:val="Normal"/>
    <w:qFormat/>
    <w:rsid w:val="00294EE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6022"/>
    <w:pPr>
      <w:tabs>
        <w:tab w:val="center" w:pos="4320"/>
        <w:tab w:val="right" w:pos="8640"/>
      </w:tabs>
    </w:pPr>
  </w:style>
  <w:style w:type="paragraph" w:styleId="Footer">
    <w:name w:val="footer"/>
    <w:basedOn w:val="Normal"/>
    <w:link w:val="FooterChar"/>
    <w:uiPriority w:val="99"/>
    <w:rsid w:val="00396022"/>
    <w:pPr>
      <w:tabs>
        <w:tab w:val="center" w:pos="4320"/>
        <w:tab w:val="right" w:pos="8640"/>
      </w:tabs>
    </w:pPr>
  </w:style>
  <w:style w:type="paragraph" w:styleId="BodyText">
    <w:name w:val="Body Text"/>
    <w:basedOn w:val="Normal"/>
    <w:rsid w:val="00396022"/>
    <w:pPr>
      <w:spacing w:after="120"/>
    </w:pPr>
  </w:style>
  <w:style w:type="character" w:styleId="PageNumber">
    <w:name w:val="page number"/>
    <w:basedOn w:val="DefaultParagraphFont"/>
    <w:rsid w:val="00396022"/>
  </w:style>
  <w:style w:type="paragraph" w:styleId="Caption">
    <w:name w:val="caption"/>
    <w:basedOn w:val="Normal"/>
    <w:next w:val="Normal"/>
    <w:qFormat/>
    <w:rsid w:val="00396022"/>
    <w:pPr>
      <w:jc w:val="right"/>
    </w:pPr>
    <w:rPr>
      <w:sz w:val="24"/>
    </w:rPr>
  </w:style>
  <w:style w:type="paragraph" w:customStyle="1" w:styleId="Default">
    <w:name w:val="Default"/>
    <w:rsid w:val="00B03240"/>
    <w:pPr>
      <w:autoSpaceDE w:val="0"/>
      <w:autoSpaceDN w:val="0"/>
      <w:adjustRightInd w:val="0"/>
    </w:pPr>
    <w:rPr>
      <w:color w:val="000000"/>
      <w:sz w:val="24"/>
      <w:szCs w:val="24"/>
    </w:rPr>
  </w:style>
  <w:style w:type="paragraph" w:styleId="BodyTextIndent">
    <w:name w:val="Body Text Indent"/>
    <w:basedOn w:val="Normal"/>
    <w:rsid w:val="00294EE6"/>
    <w:pPr>
      <w:spacing w:after="120"/>
      <w:ind w:left="360"/>
    </w:pPr>
  </w:style>
  <w:style w:type="paragraph" w:styleId="BodyText2">
    <w:name w:val="Body Text 2"/>
    <w:basedOn w:val="Normal"/>
    <w:rsid w:val="00294EE6"/>
    <w:pPr>
      <w:spacing w:after="120" w:line="480" w:lineRule="auto"/>
    </w:pPr>
  </w:style>
  <w:style w:type="paragraph" w:styleId="Title">
    <w:name w:val="Title"/>
    <w:basedOn w:val="Default"/>
    <w:next w:val="Default"/>
    <w:qFormat/>
    <w:rsid w:val="00294EE6"/>
    <w:rPr>
      <w:color w:val="auto"/>
    </w:rPr>
  </w:style>
  <w:style w:type="character" w:styleId="Emphasis">
    <w:name w:val="Emphasis"/>
    <w:qFormat/>
    <w:rsid w:val="007933A8"/>
    <w:rPr>
      <w:i/>
      <w:iCs/>
    </w:rPr>
  </w:style>
  <w:style w:type="paragraph" w:styleId="FootnoteText">
    <w:name w:val="footnote text"/>
    <w:basedOn w:val="Normal"/>
    <w:link w:val="FootnoteTextChar"/>
    <w:uiPriority w:val="99"/>
    <w:unhideWhenUsed/>
    <w:rsid w:val="00402CAB"/>
    <w:rPr>
      <w:rFonts w:ascii="Calibri" w:eastAsia="Calibri" w:hAnsi="Calibri"/>
      <w:lang w:val="x-none" w:eastAsia="x-none"/>
    </w:rPr>
  </w:style>
  <w:style w:type="character" w:customStyle="1" w:styleId="FootnoteTextChar">
    <w:name w:val="Footnote Text Char"/>
    <w:link w:val="FootnoteText"/>
    <w:uiPriority w:val="99"/>
    <w:rsid w:val="00402CAB"/>
    <w:rPr>
      <w:rFonts w:ascii="Calibri" w:eastAsia="Calibri" w:hAnsi="Calibri"/>
    </w:rPr>
  </w:style>
  <w:style w:type="character" w:styleId="FootnoteReference">
    <w:name w:val="footnote reference"/>
    <w:uiPriority w:val="99"/>
    <w:unhideWhenUsed/>
    <w:rsid w:val="00402CAB"/>
    <w:rPr>
      <w:vertAlign w:val="superscript"/>
    </w:rPr>
  </w:style>
  <w:style w:type="paragraph" w:styleId="NoSpacing">
    <w:name w:val="No Spacing"/>
    <w:uiPriority w:val="1"/>
    <w:qFormat/>
    <w:rsid w:val="005E04E9"/>
    <w:rPr>
      <w:rFonts w:ascii="Calibri" w:eastAsia="Calibri" w:hAnsi="Calibri"/>
      <w:sz w:val="22"/>
      <w:szCs w:val="22"/>
    </w:rPr>
  </w:style>
  <w:style w:type="paragraph" w:styleId="BalloonText">
    <w:name w:val="Balloon Text"/>
    <w:basedOn w:val="Normal"/>
    <w:link w:val="BalloonTextChar"/>
    <w:rsid w:val="00D0358E"/>
    <w:rPr>
      <w:rFonts w:ascii="Tahoma" w:hAnsi="Tahoma"/>
      <w:sz w:val="16"/>
      <w:szCs w:val="16"/>
      <w:lang w:val="x-none" w:eastAsia="x-none"/>
    </w:rPr>
  </w:style>
  <w:style w:type="character" w:customStyle="1" w:styleId="BalloonTextChar">
    <w:name w:val="Balloon Text Char"/>
    <w:link w:val="BalloonText"/>
    <w:rsid w:val="00D0358E"/>
    <w:rPr>
      <w:rFonts w:ascii="Tahoma" w:hAnsi="Tahoma" w:cs="Tahoma"/>
      <w:sz w:val="16"/>
      <w:szCs w:val="16"/>
    </w:rPr>
  </w:style>
  <w:style w:type="character" w:styleId="CommentReference">
    <w:name w:val="annotation reference"/>
    <w:uiPriority w:val="99"/>
    <w:unhideWhenUsed/>
    <w:rsid w:val="006925C3"/>
    <w:rPr>
      <w:sz w:val="16"/>
      <w:szCs w:val="16"/>
    </w:rPr>
  </w:style>
  <w:style w:type="paragraph" w:styleId="CommentText">
    <w:name w:val="annotation text"/>
    <w:basedOn w:val="Normal"/>
    <w:link w:val="CommentTextChar"/>
    <w:uiPriority w:val="99"/>
    <w:unhideWhenUsed/>
    <w:rsid w:val="006925C3"/>
    <w:rPr>
      <w:rFonts w:ascii="Calibri" w:eastAsia="Calibri" w:hAnsi="Calibri"/>
      <w:lang w:val="x-none" w:eastAsia="x-none"/>
    </w:rPr>
  </w:style>
  <w:style w:type="character" w:customStyle="1" w:styleId="CommentTextChar">
    <w:name w:val="Comment Text Char"/>
    <w:link w:val="CommentText"/>
    <w:uiPriority w:val="99"/>
    <w:rsid w:val="006925C3"/>
    <w:rPr>
      <w:rFonts w:ascii="Calibri" w:eastAsia="Calibri" w:hAnsi="Calibri"/>
    </w:rPr>
  </w:style>
  <w:style w:type="paragraph" w:styleId="ListParagraph">
    <w:name w:val="List Paragraph"/>
    <w:basedOn w:val="Normal"/>
    <w:uiPriority w:val="34"/>
    <w:qFormat/>
    <w:rsid w:val="00ED54C0"/>
    <w:pPr>
      <w:ind w:left="720"/>
      <w:contextualSpacing/>
    </w:pPr>
    <w:rPr>
      <w:rFonts w:ascii="Calibri" w:eastAsia="Calibri" w:hAnsi="Calibri"/>
      <w:sz w:val="22"/>
      <w:szCs w:val="22"/>
    </w:rPr>
  </w:style>
  <w:style w:type="character" w:styleId="Hyperlink">
    <w:name w:val="Hyperlink"/>
    <w:rsid w:val="00D976EC"/>
    <w:rPr>
      <w:color w:val="0000FF"/>
      <w:u w:val="single"/>
    </w:rPr>
  </w:style>
  <w:style w:type="paragraph" w:styleId="CommentSubject">
    <w:name w:val="annotation subject"/>
    <w:basedOn w:val="CommentText"/>
    <w:next w:val="CommentText"/>
    <w:link w:val="CommentSubjectChar"/>
    <w:rsid w:val="00B83212"/>
    <w:rPr>
      <w:b/>
      <w:bCs/>
    </w:rPr>
  </w:style>
  <w:style w:type="character" w:customStyle="1" w:styleId="CommentSubjectChar">
    <w:name w:val="Comment Subject Char"/>
    <w:link w:val="CommentSubject"/>
    <w:rsid w:val="00B83212"/>
    <w:rPr>
      <w:rFonts w:ascii="Calibri" w:eastAsia="Calibri" w:hAnsi="Calibri"/>
      <w:b/>
      <w:bCs/>
    </w:rPr>
  </w:style>
  <w:style w:type="paragraph" w:styleId="NormalWeb">
    <w:name w:val="Normal (Web)"/>
    <w:basedOn w:val="Normal"/>
    <w:uiPriority w:val="99"/>
    <w:unhideWhenUsed/>
    <w:rsid w:val="00E40EC0"/>
    <w:pPr>
      <w:spacing w:before="100" w:beforeAutospacing="1" w:after="100" w:afterAutospacing="1"/>
    </w:pPr>
    <w:rPr>
      <w:sz w:val="24"/>
      <w:szCs w:val="24"/>
    </w:rPr>
  </w:style>
  <w:style w:type="character" w:styleId="FollowedHyperlink">
    <w:name w:val="FollowedHyperlink"/>
    <w:rsid w:val="004B6146"/>
    <w:rPr>
      <w:color w:val="800080"/>
      <w:u w:val="single"/>
    </w:rPr>
  </w:style>
  <w:style w:type="character" w:customStyle="1" w:styleId="FooterChar">
    <w:name w:val="Footer Char"/>
    <w:link w:val="Footer"/>
    <w:uiPriority w:val="99"/>
    <w:rsid w:val="00666FF5"/>
  </w:style>
</w:styles>
</file>

<file path=word/webSettings.xml><?xml version="1.0" encoding="utf-8"?>
<w:webSettings xmlns:r="http://schemas.openxmlformats.org/officeDocument/2006/relationships" xmlns:w="http://schemas.openxmlformats.org/wordprocessingml/2006/main">
  <w:divs>
    <w:div w:id="118571605">
      <w:bodyDiv w:val="1"/>
      <w:marLeft w:val="0"/>
      <w:marRight w:val="0"/>
      <w:marTop w:val="0"/>
      <w:marBottom w:val="0"/>
      <w:divBdr>
        <w:top w:val="none" w:sz="0" w:space="0" w:color="auto"/>
        <w:left w:val="none" w:sz="0" w:space="0" w:color="auto"/>
        <w:bottom w:val="none" w:sz="0" w:space="0" w:color="auto"/>
        <w:right w:val="none" w:sz="0" w:space="0" w:color="auto"/>
      </w:divBdr>
    </w:div>
    <w:div w:id="196897148">
      <w:bodyDiv w:val="1"/>
      <w:marLeft w:val="0"/>
      <w:marRight w:val="0"/>
      <w:marTop w:val="0"/>
      <w:marBottom w:val="0"/>
      <w:divBdr>
        <w:top w:val="none" w:sz="0" w:space="0" w:color="auto"/>
        <w:left w:val="none" w:sz="0" w:space="0" w:color="auto"/>
        <w:bottom w:val="none" w:sz="0" w:space="0" w:color="auto"/>
        <w:right w:val="none" w:sz="0" w:space="0" w:color="auto"/>
      </w:divBdr>
    </w:div>
    <w:div w:id="532961137">
      <w:bodyDiv w:val="1"/>
      <w:marLeft w:val="0"/>
      <w:marRight w:val="0"/>
      <w:marTop w:val="0"/>
      <w:marBottom w:val="0"/>
      <w:divBdr>
        <w:top w:val="none" w:sz="0" w:space="0" w:color="auto"/>
        <w:left w:val="none" w:sz="0" w:space="0" w:color="auto"/>
        <w:bottom w:val="none" w:sz="0" w:space="0" w:color="auto"/>
        <w:right w:val="none" w:sz="0" w:space="0" w:color="auto"/>
      </w:divBdr>
    </w:div>
    <w:div w:id="659118263">
      <w:bodyDiv w:val="1"/>
      <w:marLeft w:val="0"/>
      <w:marRight w:val="0"/>
      <w:marTop w:val="0"/>
      <w:marBottom w:val="0"/>
      <w:divBdr>
        <w:top w:val="none" w:sz="0" w:space="0" w:color="auto"/>
        <w:left w:val="none" w:sz="0" w:space="0" w:color="auto"/>
        <w:bottom w:val="none" w:sz="0" w:space="0" w:color="auto"/>
        <w:right w:val="none" w:sz="0" w:space="0" w:color="auto"/>
      </w:divBdr>
    </w:div>
    <w:div w:id="729773229">
      <w:bodyDiv w:val="1"/>
      <w:marLeft w:val="0"/>
      <w:marRight w:val="0"/>
      <w:marTop w:val="0"/>
      <w:marBottom w:val="0"/>
      <w:divBdr>
        <w:top w:val="none" w:sz="0" w:space="0" w:color="auto"/>
        <w:left w:val="none" w:sz="0" w:space="0" w:color="auto"/>
        <w:bottom w:val="none" w:sz="0" w:space="0" w:color="auto"/>
        <w:right w:val="none" w:sz="0" w:space="0" w:color="auto"/>
      </w:divBdr>
    </w:div>
    <w:div w:id="767044049">
      <w:bodyDiv w:val="1"/>
      <w:marLeft w:val="0"/>
      <w:marRight w:val="0"/>
      <w:marTop w:val="0"/>
      <w:marBottom w:val="0"/>
      <w:divBdr>
        <w:top w:val="none" w:sz="0" w:space="0" w:color="auto"/>
        <w:left w:val="none" w:sz="0" w:space="0" w:color="auto"/>
        <w:bottom w:val="none" w:sz="0" w:space="0" w:color="auto"/>
        <w:right w:val="none" w:sz="0" w:space="0" w:color="auto"/>
      </w:divBdr>
    </w:div>
    <w:div w:id="810749632">
      <w:bodyDiv w:val="1"/>
      <w:marLeft w:val="0"/>
      <w:marRight w:val="0"/>
      <w:marTop w:val="0"/>
      <w:marBottom w:val="0"/>
      <w:divBdr>
        <w:top w:val="none" w:sz="0" w:space="0" w:color="auto"/>
        <w:left w:val="none" w:sz="0" w:space="0" w:color="auto"/>
        <w:bottom w:val="none" w:sz="0" w:space="0" w:color="auto"/>
        <w:right w:val="none" w:sz="0" w:space="0" w:color="auto"/>
      </w:divBdr>
    </w:div>
    <w:div w:id="1057127459">
      <w:bodyDiv w:val="1"/>
      <w:marLeft w:val="0"/>
      <w:marRight w:val="0"/>
      <w:marTop w:val="0"/>
      <w:marBottom w:val="0"/>
      <w:divBdr>
        <w:top w:val="none" w:sz="0" w:space="0" w:color="auto"/>
        <w:left w:val="none" w:sz="0" w:space="0" w:color="auto"/>
        <w:bottom w:val="none" w:sz="0" w:space="0" w:color="auto"/>
        <w:right w:val="none" w:sz="0" w:space="0" w:color="auto"/>
      </w:divBdr>
      <w:divsChild>
        <w:div w:id="812870675">
          <w:marLeft w:val="432"/>
          <w:marRight w:val="0"/>
          <w:marTop w:val="116"/>
          <w:marBottom w:val="0"/>
          <w:divBdr>
            <w:top w:val="none" w:sz="0" w:space="0" w:color="auto"/>
            <w:left w:val="none" w:sz="0" w:space="0" w:color="auto"/>
            <w:bottom w:val="none" w:sz="0" w:space="0" w:color="auto"/>
            <w:right w:val="none" w:sz="0" w:space="0" w:color="auto"/>
          </w:divBdr>
        </w:div>
        <w:div w:id="1312054770">
          <w:marLeft w:val="432"/>
          <w:marRight w:val="0"/>
          <w:marTop w:val="116"/>
          <w:marBottom w:val="0"/>
          <w:divBdr>
            <w:top w:val="none" w:sz="0" w:space="0" w:color="auto"/>
            <w:left w:val="none" w:sz="0" w:space="0" w:color="auto"/>
            <w:bottom w:val="none" w:sz="0" w:space="0" w:color="auto"/>
            <w:right w:val="none" w:sz="0" w:space="0" w:color="auto"/>
          </w:divBdr>
        </w:div>
      </w:divsChild>
    </w:div>
    <w:div w:id="1096636270">
      <w:bodyDiv w:val="1"/>
      <w:marLeft w:val="0"/>
      <w:marRight w:val="0"/>
      <w:marTop w:val="0"/>
      <w:marBottom w:val="0"/>
      <w:divBdr>
        <w:top w:val="none" w:sz="0" w:space="0" w:color="auto"/>
        <w:left w:val="none" w:sz="0" w:space="0" w:color="auto"/>
        <w:bottom w:val="none" w:sz="0" w:space="0" w:color="auto"/>
        <w:right w:val="none" w:sz="0" w:space="0" w:color="auto"/>
      </w:divBdr>
    </w:div>
    <w:div w:id="1109929011">
      <w:bodyDiv w:val="1"/>
      <w:marLeft w:val="0"/>
      <w:marRight w:val="0"/>
      <w:marTop w:val="0"/>
      <w:marBottom w:val="0"/>
      <w:divBdr>
        <w:top w:val="none" w:sz="0" w:space="0" w:color="auto"/>
        <w:left w:val="none" w:sz="0" w:space="0" w:color="auto"/>
        <w:bottom w:val="none" w:sz="0" w:space="0" w:color="auto"/>
        <w:right w:val="none" w:sz="0" w:space="0" w:color="auto"/>
      </w:divBdr>
    </w:div>
    <w:div w:id="1212153894">
      <w:bodyDiv w:val="1"/>
      <w:marLeft w:val="0"/>
      <w:marRight w:val="0"/>
      <w:marTop w:val="0"/>
      <w:marBottom w:val="0"/>
      <w:divBdr>
        <w:top w:val="none" w:sz="0" w:space="0" w:color="auto"/>
        <w:left w:val="none" w:sz="0" w:space="0" w:color="auto"/>
        <w:bottom w:val="none" w:sz="0" w:space="0" w:color="auto"/>
        <w:right w:val="none" w:sz="0" w:space="0" w:color="auto"/>
      </w:divBdr>
      <w:divsChild>
        <w:div w:id="736438670">
          <w:marLeft w:val="432"/>
          <w:marRight w:val="0"/>
          <w:marTop w:val="116"/>
          <w:marBottom w:val="0"/>
          <w:divBdr>
            <w:top w:val="none" w:sz="0" w:space="0" w:color="auto"/>
            <w:left w:val="none" w:sz="0" w:space="0" w:color="auto"/>
            <w:bottom w:val="none" w:sz="0" w:space="0" w:color="auto"/>
            <w:right w:val="none" w:sz="0" w:space="0" w:color="auto"/>
          </w:divBdr>
        </w:div>
      </w:divsChild>
    </w:div>
    <w:div w:id="1426220607">
      <w:bodyDiv w:val="1"/>
      <w:marLeft w:val="0"/>
      <w:marRight w:val="0"/>
      <w:marTop w:val="0"/>
      <w:marBottom w:val="0"/>
      <w:divBdr>
        <w:top w:val="none" w:sz="0" w:space="0" w:color="auto"/>
        <w:left w:val="none" w:sz="0" w:space="0" w:color="auto"/>
        <w:bottom w:val="none" w:sz="0" w:space="0" w:color="auto"/>
        <w:right w:val="none" w:sz="0" w:space="0" w:color="auto"/>
      </w:divBdr>
    </w:div>
    <w:div w:id="1565290299">
      <w:bodyDiv w:val="1"/>
      <w:marLeft w:val="0"/>
      <w:marRight w:val="0"/>
      <w:marTop w:val="0"/>
      <w:marBottom w:val="0"/>
      <w:divBdr>
        <w:top w:val="none" w:sz="0" w:space="0" w:color="auto"/>
        <w:left w:val="none" w:sz="0" w:space="0" w:color="auto"/>
        <w:bottom w:val="none" w:sz="0" w:space="0" w:color="auto"/>
        <w:right w:val="none" w:sz="0" w:space="0" w:color="auto"/>
      </w:divBdr>
    </w:div>
    <w:div w:id="1695376945">
      <w:bodyDiv w:val="1"/>
      <w:marLeft w:val="0"/>
      <w:marRight w:val="0"/>
      <w:marTop w:val="0"/>
      <w:marBottom w:val="0"/>
      <w:divBdr>
        <w:top w:val="none" w:sz="0" w:space="0" w:color="auto"/>
        <w:left w:val="none" w:sz="0" w:space="0" w:color="auto"/>
        <w:bottom w:val="none" w:sz="0" w:space="0" w:color="auto"/>
        <w:right w:val="none" w:sz="0" w:space="0" w:color="auto"/>
      </w:divBdr>
    </w:div>
    <w:div w:id="2041125969">
      <w:bodyDiv w:val="1"/>
      <w:marLeft w:val="0"/>
      <w:marRight w:val="0"/>
      <w:marTop w:val="0"/>
      <w:marBottom w:val="0"/>
      <w:divBdr>
        <w:top w:val="none" w:sz="0" w:space="0" w:color="auto"/>
        <w:left w:val="none" w:sz="0" w:space="0" w:color="auto"/>
        <w:bottom w:val="none" w:sz="0" w:space="0" w:color="auto"/>
        <w:right w:val="none" w:sz="0" w:space="0" w:color="auto"/>
      </w:divBdr>
    </w:div>
    <w:div w:id="210299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ns.usda.gov/sites/default/files/SP19-2014o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GM xmlns="61bb7fe8-5a18-403c-91be-7de2232a3b99">
      <Value>SP</Value>
    </PGM>
    <FFY xmlns="61bb7fe8-5a18-403c-91be-7de2232a3b99">2014</FFY>
    <WhatNewUntil xmlns="61bb7fe8-5a18-403c-91be-7de2232a3b99">2014-03-11T04:00:00+00:00</WhatNewUntil>
    <Keyphrase xmlns="61bb7fe8-5a18-403c-91be-7de2232a3b99">18</Keyphrase>
    <DocID xmlns="61bb7fe8-5a18-403c-91be-7de2232a3b99">2014-02-25T05:00:00+00:00</DocID>
    <signed xmlns="61bb7fe8-5a18-403c-91be-7de2232a3b99">false</signed>
    <Also_x002d_See xmlns="61bb7fe8-5a18-403c-91be-7de2232a3b99">
      <Url xsi:nil="true"/>
      <Description xsi:nil="true"/>
    </Also_x002d_Se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8" ma:contentTypeDescription="Create a new document." ma:contentTypeScope="" ma:versionID="74848455014c907767831f1082f960e8">
  <xsd:schema xmlns:xsd="http://www.w3.org/2001/XMLSchema" xmlns:p="http://schemas.microsoft.com/office/2006/metadata/properties" xmlns:ns2="61bb7fe8-5a18-403c-91be-7de2232a3b99" targetNamespace="http://schemas.microsoft.com/office/2006/metadata/properties" ma:root="true" ma:fieldsID="5eab08a7465e33ff98f180e1fb2cd278"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WhatNewUntil" minOccurs="0"/>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4" ma:description="In which Federal Fiscal Year did this get issued?" ma:format="RadioButtons" ma:internalName="FFY">
      <xsd:simpleType>
        <xsd:restriction base="dms:Choice">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WhatNewUntil" ma:index="14" nillable="true" ma:displayName="WhatNewUntil" ma:description="When this date is higher than today's date, it will show up on the What's New area." ma:format="DateOnly" ma:internalName="WhatNewUntil">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91FBB-D487-4B01-9DC1-352E01CDAFE5}">
  <ds:schemaRefs>
    <ds:schemaRef ds:uri="http://schemas.microsoft.com/office/2006/metadata/longProperties"/>
  </ds:schemaRefs>
</ds:datastoreItem>
</file>

<file path=customXml/itemProps2.xml><?xml version="1.0" encoding="utf-8"?>
<ds:datastoreItem xmlns:ds="http://schemas.openxmlformats.org/officeDocument/2006/customXml" ds:itemID="{0595754E-CEC9-4444-B27E-F08BA7C2AEEA}">
  <ds:schemaRefs>
    <ds:schemaRef ds:uri="http://schemas.microsoft.com/sharepoint/v3/contenttype/forms"/>
  </ds:schemaRefs>
</ds:datastoreItem>
</file>

<file path=customXml/itemProps3.xml><?xml version="1.0" encoding="utf-8"?>
<ds:datastoreItem xmlns:ds="http://schemas.openxmlformats.org/officeDocument/2006/customXml" ds:itemID="{FA21FD66-A21C-425A-BB13-31086E70285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61bb7fe8-5a18-403c-91be-7de2232a3b99"/>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DA092B93-B93E-4AD1-BD0F-0B05D1B9E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2EFB3DD-256A-40AD-B8BA-16BC30FA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2061</Words>
  <Characters>10580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Community Eligibility Option: Guidance and Procedures for Selection of States for School</vt:lpstr>
    </vt:vector>
  </TitlesOfParts>
  <Company>USDA FSC</Company>
  <LinksUpToDate>false</LinksUpToDate>
  <CharactersWithSpaces>12616</CharactersWithSpaces>
  <SharedDoc>false</SharedDoc>
  <HLinks>
    <vt:vector size="6" baseType="variant">
      <vt:variant>
        <vt:i4>6881397</vt:i4>
      </vt:variant>
      <vt:variant>
        <vt:i4>0</vt:i4>
      </vt:variant>
      <vt:variant>
        <vt:i4>0</vt:i4>
      </vt:variant>
      <vt:variant>
        <vt:i4>5</vt:i4>
      </vt:variant>
      <vt:variant>
        <vt:lpwstr>http://www.fns.usda.gov/sites/default/files/SP19-2014os.pdf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21-2014: Community Eligibility Provision:  Guidance and Q&amp;As</dc:title>
  <dc:creator>UserName</dc:creator>
  <cp:lastModifiedBy>aaq17616</cp:lastModifiedBy>
  <cp:revision>6</cp:revision>
  <cp:lastPrinted>2014-03-14T12:14:00Z</cp:lastPrinted>
  <dcterms:created xsi:type="dcterms:W3CDTF">2014-02-26T21:47:00Z</dcterms:created>
  <dcterms:modified xsi:type="dcterms:W3CDTF">2014-03-21T11:06:00Z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0x01010055F477AB457D9347989FB43D9589FD03</vt:lpwstr>
  </property>
  <property fmtid="{D5CDD505-2E9C-101B-9397-08002B2CF9AE}" pid="4" name="Issue Date">
    <vt:lpwstr>2012-12-07T05:00:00+00:00</vt:lpwstr>
  </property>
</Properties>
</file>