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1440"/>
        </w:tabs>
        <w:rPr/>
      </w:pPr>
      <w:r w:rsidDel="00000000" w:rsidR="00000000" w:rsidRPr="00000000">
        <w:rPr>
          <w:rtl w:val="0"/>
        </w:rPr>
        <w:t xml:space="preserve">Superintendent’s Memo #232-20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694055" cy="694055"/>
            <wp:effectExtent b="0" l="0" r="0" t="0"/>
            <wp:docPr descr="Virginia State seal, Commonwealth of Virginia - Link to Superintendent's Memos page" id="2" name="image1.gif"/>
            <a:graphic>
              <a:graphicData uri="http://schemas.openxmlformats.org/drawingml/2006/picture">
                <pic:pic>
                  <pic:nvPicPr>
                    <pic:cNvPr descr="Virginia State seal, Commonwealth of Virginia - Link to Superintendent's Memos page" id="0" name="image1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4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COMMONWEALTH of VIRGINIA </w:t>
        <w:br w:type="textWrapping"/>
        <w:t xml:space="preserve">Department of Education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800"/>
        </w:tabs>
        <w:rPr/>
      </w:pPr>
      <w:r w:rsidDel="00000000" w:rsidR="00000000" w:rsidRPr="00000000">
        <w:rPr>
          <w:rtl w:val="0"/>
        </w:rPr>
        <w:t xml:space="preserve">DATE:</w:t>
        <w:tab/>
        <w:t xml:space="preserve">September 4, 2020</w:t>
      </w:r>
    </w:p>
    <w:p w:rsidR="00000000" w:rsidDel="00000000" w:rsidP="00000000" w:rsidRDefault="00000000" w:rsidRPr="00000000" w14:paraId="00000004">
      <w:pPr>
        <w:tabs>
          <w:tab w:val="left" w:pos="1800"/>
        </w:tabs>
        <w:rPr/>
      </w:pPr>
      <w:r w:rsidDel="00000000" w:rsidR="00000000" w:rsidRPr="00000000">
        <w:rPr>
          <w:rtl w:val="0"/>
        </w:rPr>
        <w:t xml:space="preserve">TO: </w:t>
        <w:tab/>
        <w:t xml:space="preserve">Division Superintendents</w:t>
      </w:r>
    </w:p>
    <w:p w:rsidR="00000000" w:rsidDel="00000000" w:rsidP="00000000" w:rsidRDefault="00000000" w:rsidRPr="00000000" w14:paraId="00000005">
      <w:pPr>
        <w:tabs>
          <w:tab w:val="left" w:pos="1800"/>
        </w:tabs>
        <w:rPr/>
      </w:pPr>
      <w:r w:rsidDel="00000000" w:rsidR="00000000" w:rsidRPr="00000000">
        <w:rPr>
          <w:rtl w:val="0"/>
        </w:rPr>
        <w:t xml:space="preserve">FROM: </w:t>
        <w:tab/>
      </w:r>
      <w:r w:rsidDel="00000000" w:rsidR="00000000" w:rsidRPr="00000000">
        <w:rPr>
          <w:color w:val="000000"/>
          <w:rtl w:val="0"/>
        </w:rPr>
        <w:t xml:space="preserve">James F. Lane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000000"/>
          <w:rtl w:val="0"/>
        </w:rPr>
        <w:t xml:space="preserve">Ed.D., </w:t>
      </w:r>
      <w:r w:rsidDel="00000000" w:rsidR="00000000" w:rsidRPr="00000000">
        <w:rPr>
          <w:rtl w:val="0"/>
        </w:rPr>
        <w:t xml:space="preserve">Superintendent of Public Instruction</w:t>
      </w:r>
    </w:p>
    <w:p w:rsidR="00000000" w:rsidDel="00000000" w:rsidP="00000000" w:rsidRDefault="00000000" w:rsidRPr="00000000" w14:paraId="00000006">
      <w:pPr>
        <w:pStyle w:val="Heading2"/>
        <w:tabs>
          <w:tab w:val="left" w:pos="1800"/>
        </w:tabs>
        <w:ind w:left="1800" w:hanging="1800"/>
        <w:rPr/>
      </w:pPr>
      <w:r w:rsidDel="00000000" w:rsidR="00000000" w:rsidRPr="00000000">
        <w:rPr>
          <w:rtl w:val="0"/>
        </w:rPr>
        <w:t xml:space="preserve">SUBJECT: </w:t>
        <w:tab/>
        <w:t xml:space="preserve">Opportunity to Comment on Virginia’s Request from Certain Requirements of the </w:t>
      </w:r>
      <w:r w:rsidDel="00000000" w:rsidR="00000000" w:rsidRPr="00000000">
        <w:rPr>
          <w:i w:val="1"/>
          <w:rtl w:val="0"/>
        </w:rPr>
        <w:t xml:space="preserve">Every Student Succeeds Act of 2015 </w:t>
      </w:r>
      <w:r w:rsidDel="00000000" w:rsidR="00000000" w:rsidRPr="00000000">
        <w:rPr>
          <w:rtl w:val="0"/>
        </w:rPr>
        <w:t xml:space="preserve">(ESSA)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Virginia Department of Education (VDOE) is seeking input on a waiver request from certain statutory requirements under the </w:t>
      </w:r>
      <w:r w:rsidDel="00000000" w:rsidR="00000000" w:rsidRPr="00000000">
        <w:rPr>
          <w:i w:val="1"/>
          <w:rtl w:val="0"/>
        </w:rPr>
        <w:t xml:space="preserve">Every Student Succeeds Act of 2015</w:t>
      </w:r>
      <w:r w:rsidDel="00000000" w:rsidR="00000000" w:rsidRPr="00000000">
        <w:rPr>
          <w:rtl w:val="0"/>
        </w:rPr>
        <w:t xml:space="preserve"> (ESSA). In a previously approved waiver request, Virginia was granted permission to waive certain fiscal and programmatic requirements in order to provide grantees with flexibility needed to address the impacts of the COVID-19 pandemic. If granted, this waiver request will extend the waiver period for the statutory requirements below.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240" w:lineRule="auto"/>
        <w:ind w:left="720" w:right="720" w:hanging="360"/>
        <w:rPr/>
      </w:pPr>
      <w:r w:rsidDel="00000000" w:rsidR="00000000" w:rsidRPr="00000000">
        <w:rPr>
          <w:rtl w:val="0"/>
        </w:rPr>
        <w:t xml:space="preserve">Carryover limitation in section 1127(b) of the ESEA for Federal Fiscal Year (FFY) 2020 Title I, Part A, funds: the requirement that limits an SEA’s ability to grant to its LEAs a waiver of the 15 percent Title I, Part A carryover limitation in section 1127(a) more than once every three years.</w:t>
      </w:r>
    </w:p>
    <w:p w:rsidR="00000000" w:rsidDel="00000000" w:rsidP="00000000" w:rsidRDefault="00000000" w:rsidRPr="00000000" w14:paraId="00000009">
      <w:pPr>
        <w:spacing w:after="0" w:line="240" w:lineRule="auto"/>
        <w:ind w:righ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720" w:right="720" w:hanging="360"/>
        <w:rPr/>
      </w:pPr>
      <w:r w:rsidDel="00000000" w:rsidR="00000000" w:rsidRPr="00000000">
        <w:rPr>
          <w:rtl w:val="0"/>
        </w:rPr>
        <w:t xml:space="preserve">Period of availability of funds in section 421(b) of the General Education Provisions Act (GEPA): to extend the period of availability of FFY 2019 funds until September 30, 2022 for the following programs: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line="240" w:lineRule="auto"/>
        <w:ind w:left="1260" w:right="72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Title I, Part A of the ESEA (Improving Basic Programs Operated by LEAs), including the portions of the SEA’s Title I, Part A award used to carry out section 1003 school improvement and Title I, Part D, Subpart 2;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line="240" w:lineRule="auto"/>
        <w:ind w:left="1260" w:right="720" w:hanging="360"/>
        <w:rPr/>
      </w:pPr>
      <w:r w:rsidDel="00000000" w:rsidR="00000000" w:rsidRPr="00000000">
        <w:rPr>
          <w:rtl w:val="0"/>
        </w:rPr>
        <w:t xml:space="preserve">Title I, Part B of the ESEA (State Assessment Formula Grants);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line="240" w:lineRule="auto"/>
        <w:ind w:left="1260" w:right="720" w:hanging="360"/>
        <w:rPr/>
      </w:pPr>
      <w:r w:rsidDel="00000000" w:rsidR="00000000" w:rsidRPr="00000000">
        <w:rPr>
          <w:rtl w:val="0"/>
        </w:rPr>
        <w:t xml:space="preserve">Title I, Part C of the ESEA (Education of Migratory Children);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line="240" w:lineRule="auto"/>
        <w:ind w:left="1260" w:right="720" w:hanging="360"/>
        <w:rPr/>
      </w:pPr>
      <w:r w:rsidDel="00000000" w:rsidR="00000000" w:rsidRPr="00000000">
        <w:rPr>
          <w:rtl w:val="0"/>
        </w:rPr>
        <w:t xml:space="preserve">Title I, Part D, Subpart 1 of the ESEA (Prevention and Intervention Programs for Children and Youth Who Are Neglected, Delinquent, or At Risk);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line="240" w:lineRule="auto"/>
        <w:ind w:left="1260" w:right="720" w:hanging="360"/>
        <w:rPr/>
      </w:pPr>
      <w:r w:rsidDel="00000000" w:rsidR="00000000" w:rsidRPr="00000000">
        <w:rPr>
          <w:rtl w:val="0"/>
        </w:rPr>
        <w:t xml:space="preserve">Title II, Part A of the ESEA (Supporting Effective Instruction);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line="240" w:lineRule="auto"/>
        <w:ind w:left="1260" w:right="720" w:hanging="360"/>
        <w:rPr/>
      </w:pPr>
      <w:r w:rsidDel="00000000" w:rsidR="00000000" w:rsidRPr="00000000">
        <w:rPr>
          <w:rtl w:val="0"/>
        </w:rPr>
        <w:t xml:space="preserve">Title III, Part A of the ESEA (English Language Acquisition, Language Enhancement, and Academic Achievement);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line="240" w:lineRule="auto"/>
        <w:ind w:left="1260" w:right="720" w:hanging="360"/>
        <w:rPr/>
      </w:pPr>
      <w:r w:rsidDel="00000000" w:rsidR="00000000" w:rsidRPr="00000000">
        <w:rPr>
          <w:rtl w:val="0"/>
        </w:rPr>
        <w:t xml:space="preserve">Title IV, Part A of the ESEA (Student Support and Academic Enrichment Grants);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line="240" w:lineRule="auto"/>
        <w:ind w:left="1260" w:right="720" w:hanging="360"/>
        <w:rPr/>
      </w:pPr>
      <w:r w:rsidDel="00000000" w:rsidR="00000000" w:rsidRPr="00000000">
        <w:rPr>
          <w:rtl w:val="0"/>
        </w:rPr>
        <w:t xml:space="preserve">Title IV, Part B of the ESEA (21st Century Community Learning Centers);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line="240" w:lineRule="auto"/>
        <w:ind w:left="1260" w:right="720" w:hanging="360"/>
        <w:rPr/>
      </w:pPr>
      <w:r w:rsidDel="00000000" w:rsidR="00000000" w:rsidRPr="00000000">
        <w:rPr>
          <w:rtl w:val="0"/>
        </w:rPr>
        <w:t xml:space="preserve">Title V, Part B, Subpart 2 of the ESEA (Rural and Low-Income School Program); and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line="240" w:lineRule="auto"/>
        <w:ind w:left="1260" w:right="720" w:hanging="360"/>
        <w:rPr/>
      </w:pPr>
      <w:r w:rsidDel="00000000" w:rsidR="00000000" w:rsidRPr="00000000">
        <w:rPr>
          <w:rtl w:val="0"/>
        </w:rPr>
        <w:t xml:space="preserve">McKinney-Vento Education for Homeless Children and Youth Program.</w:t>
      </w:r>
    </w:p>
    <w:p w:rsidR="00000000" w:rsidDel="00000000" w:rsidP="00000000" w:rsidRDefault="00000000" w:rsidRPr="00000000" w14:paraId="00000015">
      <w:pPr>
        <w:spacing w:after="0" w:line="240" w:lineRule="auto"/>
        <w:ind w:left="540" w:righ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line="240" w:lineRule="auto"/>
        <w:ind w:left="720" w:right="720" w:hanging="360"/>
        <w:rPr/>
      </w:pPr>
      <w:r w:rsidDel="00000000" w:rsidR="00000000" w:rsidRPr="00000000">
        <w:rPr>
          <w:rtl w:val="0"/>
        </w:rPr>
        <w:t xml:space="preserve">Requirements in Title IV, Part A, of the ESEA: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line="240" w:lineRule="auto"/>
        <w:ind w:left="1260" w:right="720" w:hanging="360"/>
        <w:rPr/>
      </w:pPr>
      <w:r w:rsidDel="00000000" w:rsidR="00000000" w:rsidRPr="00000000">
        <w:rPr>
          <w:rtl w:val="0"/>
        </w:rPr>
        <w:t xml:space="preserve">Content area spending requirements in section 4106(e)(2)(C), (D), and (E): the requirements to use a minimum percentage of Title IV, Part A, funds for activities under sections 4107, 4108, and 4109 for FFY 2020 funds; and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line="240" w:lineRule="auto"/>
        <w:ind w:left="1260" w:right="720" w:hanging="360"/>
        <w:rPr/>
      </w:pPr>
      <w:r w:rsidDel="00000000" w:rsidR="00000000" w:rsidRPr="00000000">
        <w:rPr>
          <w:rtl w:val="0"/>
        </w:rPr>
        <w:t xml:space="preserve">Spending limitation in section 4109(b): the 15 percent limit on the use of funds under section 4109 to purchase technology infrastructure for FY 2020 funds.</w:t>
      </w:r>
    </w:p>
    <w:p w:rsidR="00000000" w:rsidDel="00000000" w:rsidP="00000000" w:rsidRDefault="00000000" w:rsidRPr="00000000" w14:paraId="00000019">
      <w:pPr>
        <w:spacing w:after="0" w:line="240" w:lineRule="auto"/>
        <w:ind w:left="540" w:righ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40" w:lineRule="auto"/>
        <w:ind w:left="720" w:right="720" w:hanging="360"/>
        <w:rPr/>
      </w:pPr>
      <w:r w:rsidDel="00000000" w:rsidR="00000000" w:rsidRPr="00000000">
        <w:rPr>
          <w:rtl w:val="0"/>
        </w:rPr>
        <w:t xml:space="preserve">The definition of professional development in section 8101(42) of the ESEA for the 2020-2021 school year.</w:t>
      </w:r>
    </w:p>
    <w:p w:rsidR="00000000" w:rsidDel="00000000" w:rsidP="00000000" w:rsidRDefault="00000000" w:rsidRPr="00000000" w14:paraId="0000001B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Questions or comments about the waiver request may be submitted electronically by </w:t>
      </w:r>
      <w:r w:rsidDel="00000000" w:rsidR="00000000" w:rsidRPr="00000000">
        <w:rPr>
          <w:b w:val="1"/>
          <w:rtl w:val="0"/>
        </w:rPr>
        <w:t xml:space="preserve">Friday, September 25, 2020</w:t>
      </w:r>
      <w:r w:rsidDel="00000000" w:rsidR="00000000" w:rsidRPr="00000000">
        <w:rPr>
          <w:rtl w:val="0"/>
        </w:rPr>
        <w:t xml:space="preserve">, to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ESSA@doe.virginia.gov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D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JFL/ls</w:t>
      </w:r>
    </w:p>
    <w:p w:rsidR="00000000" w:rsidDel="00000000" w:rsidP="00000000" w:rsidRDefault="00000000" w:rsidRPr="00000000" w14:paraId="0000001F">
      <w:pPr>
        <w:pStyle w:val="Heading3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right"/>
    </w:pPr>
    <w:rPr/>
  </w:style>
  <w:style w:type="paragraph" w:styleId="Heading2">
    <w:name w:val="heading 2"/>
    <w:basedOn w:val="Normal"/>
    <w:next w:val="Normal"/>
    <w:pPr/>
    <w:rPr>
      <w:b w:val="1"/>
    </w:rPr>
  </w:style>
  <w:style w:type="paragraph" w:styleId="Heading3">
    <w:name w:val="heading 3"/>
    <w:basedOn w:val="Normal"/>
    <w:next w:val="Normal"/>
    <w:pPr/>
    <w:rPr>
      <w:b w:val="1"/>
      <w:sz w:val="30"/>
      <w:szCs w:val="30"/>
    </w:rPr>
  </w:style>
  <w:style w:type="paragraph" w:styleId="Heading4">
    <w:name w:val="heading 4"/>
    <w:basedOn w:val="Normal"/>
    <w:next w:val="Normal"/>
    <w:pPr/>
    <w:rPr>
      <w:b w:val="1"/>
      <w:sz w:val="28"/>
      <w:szCs w:val="28"/>
    </w:rPr>
  </w:style>
  <w:style w:type="paragraph" w:styleId="Heading5">
    <w:name w:val="heading 5"/>
    <w:basedOn w:val="Normal"/>
    <w:next w:val="Normal"/>
    <w:pPr/>
    <w:rPr>
      <w:b w:val="1"/>
      <w:sz w:val="26"/>
      <w:szCs w:val="26"/>
    </w:rPr>
  </w:style>
  <w:style w:type="paragraph" w:styleId="Heading6">
    <w:name w:val="heading 6"/>
    <w:basedOn w:val="Normal"/>
    <w:next w:val="Normal"/>
    <w:pPr/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D95780"/>
    <w:pPr>
      <w:outlineLvl w:val="1"/>
    </w:pPr>
    <w:rPr>
      <w:b w:val="1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DA14B1"/>
    <w:pPr>
      <w:outlineLvl w:val="2"/>
    </w:pPr>
    <w:rPr>
      <w:b w:val="1"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 w:val="1"/>
    <w:qFormat w:val="1"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qFormat w:val="1"/>
    <w:rsid w:val="00DA14B1"/>
    <w:pPr>
      <w:spacing w:after="100" w:afterAutospacing="1" w:before="100" w:beforeAutospacing="1"/>
      <w:outlineLvl w:val="4"/>
    </w:pPr>
    <w:rPr>
      <w:rFonts w:eastAsiaTheme="majorEastAsia"/>
      <w:b w:val="1"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 w:val="1"/>
    <w:qFormat w:val="1"/>
    <w:rsid w:val="00DA14B1"/>
    <w:pPr>
      <w:spacing w:after="100" w:afterAutospacing="1" w:before="100" w:beforeAutospacing="1"/>
      <w:outlineLvl w:val="5"/>
    </w:pPr>
    <w:rPr>
      <w:rFonts w:eastAsiaTheme="majorEastAsia"/>
      <w:b w:val="1"/>
      <w:szCs w:val="24"/>
      <w:lang w:val="e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styleId="Heading2Char" w:customStyle="1">
    <w:name w:val="Heading 2 Char"/>
    <w:basedOn w:val="DefaultParagraphFont"/>
    <w:link w:val="Heading2"/>
    <w:uiPriority w:val="9"/>
    <w:rsid w:val="00D95780"/>
    <w:rPr>
      <w:rFonts w:ascii="Times New Roman" w:hAnsi="Times New Roman"/>
      <w:b w:val="1"/>
      <w:sz w:val="24"/>
    </w:rPr>
  </w:style>
  <w:style w:type="character" w:styleId="Heading3Char" w:customStyle="1">
    <w:name w:val="Heading 3 Char"/>
    <w:basedOn w:val="DefaultParagraphFont"/>
    <w:link w:val="Heading3"/>
    <w:uiPriority w:val="9"/>
    <w:rsid w:val="00DA14B1"/>
    <w:rPr>
      <w:rFonts w:ascii="Times New Roman" w:hAnsi="Times New Roman"/>
      <w:b w:val="1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"/>
    <w:rsid w:val="00DA14B1"/>
    <w:rPr>
      <w:rFonts w:ascii="Times New Roman" w:hAnsi="Times New Roman" w:eastAsiaTheme="majorEastAsia"/>
      <w:b w:val="1"/>
      <w:sz w:val="28"/>
      <w:szCs w:val="28"/>
      <w:lang w:val="en"/>
    </w:rPr>
  </w:style>
  <w:style w:type="character" w:styleId="Heading5Char" w:customStyle="1">
    <w:name w:val="Heading 5 Char"/>
    <w:basedOn w:val="DefaultParagraphFont"/>
    <w:link w:val="Heading5"/>
    <w:uiPriority w:val="9"/>
    <w:rsid w:val="00DA14B1"/>
    <w:rPr>
      <w:rFonts w:ascii="Times New Roman" w:hAnsi="Times New Roman" w:eastAsiaTheme="majorEastAsia"/>
      <w:b w:val="1"/>
      <w:sz w:val="26"/>
      <w:szCs w:val="26"/>
      <w:lang w:val="en"/>
    </w:rPr>
  </w:style>
  <w:style w:type="paragraph" w:styleId="ListParagraph">
    <w:name w:val="List Paragraph"/>
    <w:basedOn w:val="Normal"/>
    <w:uiPriority w:val="34"/>
    <w:qFormat w:val="1"/>
    <w:rsid w:val="00AE65FD"/>
    <w:pPr>
      <w:numPr>
        <w:numId w:val="1"/>
      </w:numPr>
      <w:spacing w:after="0" w:line="240" w:lineRule="auto"/>
    </w:pPr>
    <w:rPr>
      <w:rFonts w:cs="Times New Roman" w:eastAsia="Times New Roma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67B2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67B2F"/>
    <w:rPr>
      <w:rFonts w:ascii="Tahoma" w:cs="Tahoma" w:hAnsi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 w:val="1"/>
      <w:bCs w:val="1"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cs="Times New Roman" w:eastAsia="Times New Roman"/>
      <w:szCs w:val="20"/>
    </w:rPr>
  </w:style>
  <w:style w:type="character" w:styleId="BodyText2Char" w:customStyle="1">
    <w:name w:val="Body Text 2 Char"/>
    <w:basedOn w:val="DefaultParagraphFont"/>
    <w:link w:val="BodyText2"/>
    <w:rsid w:val="00E4085F"/>
    <w:rPr>
      <w:rFonts w:ascii="Times New Roman" w:cs="Times New Roman" w:eastAsia="Times New Roman" w:hAnsi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8181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81813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81813"/>
    <w:rPr>
      <w:rFonts w:ascii="Times New Roman" w:hAnsi="Times New Roman"/>
      <w:b w:val="1"/>
      <w:bCs w:val="1"/>
      <w:sz w:val="20"/>
      <w:szCs w:val="20"/>
    </w:rPr>
  </w:style>
  <w:style w:type="character" w:styleId="PlaceholderText">
    <w:name w:val="Placeholder Text"/>
    <w:basedOn w:val="DefaultParagraphFont"/>
    <w:uiPriority w:val="99"/>
    <w:semiHidden w:val="1"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 w:val="1"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styleId="baddress" w:customStyle="1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 w:val="1"/>
    <w:rsid w:val="00ED79E7"/>
    <w:rPr>
      <w:color w:val="0000ff" w:themeColor="hyperlink"/>
      <w:u w:val="single"/>
    </w:rPr>
  </w:style>
  <w:style w:type="character" w:styleId="Heading6Char" w:customStyle="1">
    <w:name w:val="Heading 6 Char"/>
    <w:basedOn w:val="DefaultParagraphFont"/>
    <w:link w:val="Heading6"/>
    <w:uiPriority w:val="9"/>
    <w:rsid w:val="00DA14B1"/>
    <w:rPr>
      <w:rFonts w:ascii="Times New Roman" w:hAnsi="Times New Roman" w:eastAsiaTheme="majorEastAsia"/>
      <w:b w:val="1"/>
      <w:sz w:val="24"/>
      <w:szCs w:val="24"/>
      <w:lang w:val="e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gif"/><Relationship Id="rId8" Type="http://schemas.openxmlformats.org/officeDocument/2006/relationships/hyperlink" Target="mailto:ESSA@doe.virginia.gov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Xhc5JmemY/KshG4XDbe/5Rdw+w==">AMUW2mUuC/4kPhzVWe8Z2HFzR9BluaFvr/spBA7pYLjJQDpNN1wbMo2R7gAw1ZbCw5of3DnuEhG097Sgqj5N6/UcqjqOFG1xxFfgKJ8F/fzhSDCqyOMwXyGj0Qz2u016+sXctLlyH/JQ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2020-08-24T13:56:00Z</dcterms:created>
</cp:coreProperties>
</file>