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A9817" w14:textId="779CA02A" w:rsidR="00167950" w:rsidRPr="002F2AF8" w:rsidRDefault="00167950" w:rsidP="003F37C3">
      <w:pPr>
        <w:pStyle w:val="Heading1"/>
        <w:tabs>
          <w:tab w:val="left" w:pos="1440"/>
        </w:tabs>
        <w:rPr>
          <w:szCs w:val="24"/>
        </w:rPr>
      </w:pPr>
      <w:r w:rsidRPr="002F2AF8">
        <w:rPr>
          <w:szCs w:val="24"/>
        </w:rPr>
        <w:t>Superintendent’s Memo #</w:t>
      </w:r>
      <w:bookmarkStart w:id="0" w:name="_GoBack"/>
      <w:r w:rsidR="00CC3383">
        <w:rPr>
          <w:szCs w:val="24"/>
        </w:rPr>
        <w:t>205</w:t>
      </w:r>
      <w:r w:rsidR="00FB24B9">
        <w:rPr>
          <w:szCs w:val="24"/>
        </w:rPr>
        <w:t>-20</w:t>
      </w:r>
      <w:bookmarkEnd w:id="0"/>
    </w:p>
    <w:p w14:paraId="48197715" w14:textId="77777777" w:rsidR="00167950" w:rsidRPr="002F2AF8" w:rsidRDefault="00167950" w:rsidP="003F37C3">
      <w:pPr>
        <w:jc w:val="center"/>
        <w:rPr>
          <w:szCs w:val="24"/>
        </w:rPr>
      </w:pPr>
      <w:r w:rsidRPr="002F2AF8">
        <w:rPr>
          <w:noProof/>
          <w:szCs w:val="24"/>
        </w:rPr>
        <w:drawing>
          <wp:inline distT="0" distB="0" distL="0" distR="0" wp14:anchorId="221DF046" wp14:editId="71978159">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13FA3A79" w14:textId="2330F4FB" w:rsidR="00167950" w:rsidRPr="002F2AF8" w:rsidRDefault="00167950" w:rsidP="003F37C3">
      <w:pPr>
        <w:tabs>
          <w:tab w:val="left" w:pos="1800"/>
        </w:tabs>
        <w:rPr>
          <w:szCs w:val="24"/>
        </w:rPr>
      </w:pPr>
      <w:r w:rsidRPr="002F2AF8">
        <w:rPr>
          <w:szCs w:val="24"/>
        </w:rPr>
        <w:t>DATE:</w:t>
      </w:r>
      <w:r w:rsidR="00D95780" w:rsidRPr="002F2AF8">
        <w:rPr>
          <w:szCs w:val="24"/>
        </w:rPr>
        <w:tab/>
      </w:r>
      <w:r w:rsidR="008B2829">
        <w:rPr>
          <w:szCs w:val="24"/>
        </w:rPr>
        <w:t>August 7</w:t>
      </w:r>
      <w:r w:rsidR="00376CCD">
        <w:rPr>
          <w:szCs w:val="24"/>
        </w:rPr>
        <w:t>, 2020</w:t>
      </w:r>
    </w:p>
    <w:p w14:paraId="01A1DF45" w14:textId="77777777" w:rsidR="00167950" w:rsidRPr="002F2AF8" w:rsidRDefault="00167950" w:rsidP="003F37C3">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39FF0D18" w14:textId="77777777" w:rsidR="00167950" w:rsidRPr="002F2AF8" w:rsidRDefault="00167950" w:rsidP="003F37C3">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08A61FF3" w14:textId="6BE5ED3C" w:rsidR="00167950" w:rsidRPr="002F2AF8" w:rsidRDefault="00167950" w:rsidP="005F56C3">
      <w:pPr>
        <w:pStyle w:val="Heading2"/>
        <w:tabs>
          <w:tab w:val="left" w:pos="1800"/>
        </w:tabs>
        <w:spacing w:after="240"/>
        <w:rPr>
          <w:szCs w:val="24"/>
        </w:rPr>
      </w:pPr>
      <w:r w:rsidRPr="002F2AF8">
        <w:rPr>
          <w:szCs w:val="24"/>
        </w:rPr>
        <w:t xml:space="preserve">SUBJECT: </w:t>
      </w:r>
      <w:r w:rsidR="00D95780" w:rsidRPr="002F2AF8">
        <w:rPr>
          <w:szCs w:val="24"/>
        </w:rPr>
        <w:tab/>
      </w:r>
      <w:r w:rsidR="00644BA0">
        <w:rPr>
          <w:szCs w:val="24"/>
        </w:rPr>
        <w:t xml:space="preserve">Legislative Updates that Impact </w:t>
      </w:r>
      <w:r w:rsidR="00264FEA">
        <w:rPr>
          <w:szCs w:val="24"/>
        </w:rPr>
        <w:t xml:space="preserve">the </w:t>
      </w:r>
      <w:r w:rsidR="00644BA0">
        <w:rPr>
          <w:szCs w:val="24"/>
        </w:rPr>
        <w:t>Code of Student Conduct Policy</w:t>
      </w:r>
    </w:p>
    <w:p w14:paraId="2B4FEDBF" w14:textId="29722AFE" w:rsidR="004128F9" w:rsidRDefault="00644BA0" w:rsidP="003F37C3">
      <w:pPr>
        <w:spacing w:after="0" w:line="240" w:lineRule="auto"/>
      </w:pPr>
      <w:r w:rsidRPr="004128F9">
        <w:t>F</w:t>
      </w:r>
      <w:r w:rsidR="00FF5F81" w:rsidRPr="004128F9">
        <w:t>ive</w:t>
      </w:r>
      <w:r w:rsidRPr="004128F9">
        <w:t xml:space="preserve"> pieces</w:t>
      </w:r>
      <w:r>
        <w:t xml:space="preserve"> of legislation passed by the </w:t>
      </w:r>
      <w:r w:rsidR="003D4725">
        <w:t xml:space="preserve">2020 </w:t>
      </w:r>
      <w:r>
        <w:t xml:space="preserve">Virginia General Assembly and signed by the Governor will impact the implementation of the </w:t>
      </w:r>
      <w:r w:rsidRPr="00644BA0">
        <w:rPr>
          <w:i/>
          <w:iCs/>
        </w:rPr>
        <w:t>Model Guidance for Positive and Preventative Code of Student Conduct and Alternatives to Suspension</w:t>
      </w:r>
      <w:r w:rsidR="00A223FC">
        <w:rPr>
          <w:i/>
          <w:iCs/>
        </w:rPr>
        <w:t xml:space="preserve"> (Model Guidance)</w:t>
      </w:r>
      <w:r>
        <w:rPr>
          <w:i/>
          <w:iCs/>
        </w:rPr>
        <w:t xml:space="preserve">, </w:t>
      </w:r>
      <w:r>
        <w:t>which is in the process of being updated</w:t>
      </w:r>
      <w:r w:rsidR="001F3072">
        <w:t xml:space="preserve"> to reflect the new legislation. </w:t>
      </w:r>
      <w:r>
        <w:t xml:space="preserve">Meanwhile, </w:t>
      </w:r>
      <w:r w:rsidR="001F3072">
        <w:t xml:space="preserve">the purpose of this memo is to ensure that </w:t>
      </w:r>
      <w:r>
        <w:t>school divisions are aware of the following legislative changes</w:t>
      </w:r>
      <w:r w:rsidR="00FF5F81">
        <w:t>, which bec</w:t>
      </w:r>
      <w:r w:rsidR="0003530A">
        <w:t>a</w:t>
      </w:r>
      <w:r w:rsidR="00FF5F81">
        <w:t xml:space="preserve">me effective July </w:t>
      </w:r>
      <w:r w:rsidR="00FF5F81" w:rsidRPr="00C61EF3">
        <w:t>1, 2020</w:t>
      </w:r>
      <w:r w:rsidR="000A62DF">
        <w:t xml:space="preserve">. </w:t>
      </w:r>
      <w:r w:rsidR="000A62DF" w:rsidRPr="000A62DF">
        <w:rPr>
          <w:rFonts w:cs="Times New Roman"/>
          <w:color w:val="222222"/>
          <w:szCs w:val="24"/>
          <w:shd w:val="clear" w:color="auto" w:fill="FFFFFF"/>
        </w:rPr>
        <w:t>The information below provides summaries of the bills. The entire bill language can be accessed through the links provided</w:t>
      </w:r>
      <w:r w:rsidR="000A62DF">
        <w:rPr>
          <w:rFonts w:cs="Times New Roman"/>
          <w:color w:val="222222"/>
          <w:szCs w:val="24"/>
          <w:shd w:val="clear" w:color="auto" w:fill="FFFFFF"/>
        </w:rPr>
        <w:t>:</w:t>
      </w:r>
    </w:p>
    <w:p w14:paraId="4CC99FA5" w14:textId="77777777" w:rsidR="001818FF" w:rsidRPr="004128F9" w:rsidRDefault="001818FF" w:rsidP="003F37C3">
      <w:pPr>
        <w:spacing w:after="0" w:line="240" w:lineRule="auto"/>
      </w:pPr>
    </w:p>
    <w:p w14:paraId="68C27914" w14:textId="400C4DB8" w:rsidR="00837BB7" w:rsidRDefault="004C44E6" w:rsidP="00B8751C">
      <w:pPr>
        <w:pStyle w:val="ListParagraph"/>
        <w:numPr>
          <w:ilvl w:val="0"/>
          <w:numId w:val="2"/>
        </w:numPr>
        <w:ind w:left="360"/>
        <w:rPr>
          <w:szCs w:val="24"/>
        </w:rPr>
      </w:pPr>
      <w:hyperlink r:id="rId10" w:history="1">
        <w:r w:rsidR="00644BA0" w:rsidRPr="00C70056">
          <w:rPr>
            <w:rStyle w:val="Hyperlink"/>
          </w:rPr>
          <w:t>House Bill 415</w:t>
        </w:r>
      </w:hyperlink>
      <w:r w:rsidR="00644BA0" w:rsidRPr="00837BB7">
        <w:rPr>
          <w:rFonts w:eastAsiaTheme="minorHAnsi" w:cstheme="minorBidi"/>
          <w:i/>
          <w:iCs/>
          <w:szCs w:val="24"/>
        </w:rPr>
        <w:t xml:space="preserve"> </w:t>
      </w:r>
      <w:r w:rsidR="00644BA0" w:rsidRPr="00837BB7">
        <w:rPr>
          <w:color w:val="000000"/>
          <w:szCs w:val="24"/>
        </w:rPr>
        <w:t xml:space="preserve">amends and </w:t>
      </w:r>
      <w:r w:rsidR="00644BA0" w:rsidRPr="00EB44A3">
        <w:t>reenact</w:t>
      </w:r>
      <w:r w:rsidR="00FF5F81" w:rsidRPr="00EB44A3">
        <w:t>s</w:t>
      </w:r>
      <w:r w:rsidR="00644BA0" w:rsidRPr="00EB44A3">
        <w:t xml:space="preserve"> </w:t>
      </w:r>
      <w:hyperlink r:id="rId11" w:history="1">
        <w:r w:rsidR="00FF5F81" w:rsidRPr="00EB44A3">
          <w:rPr>
            <w:rStyle w:val="Hyperlink"/>
          </w:rPr>
          <w:t xml:space="preserve">§ </w:t>
        </w:r>
        <w:r w:rsidR="00644BA0" w:rsidRPr="00EB44A3">
          <w:rPr>
            <w:rStyle w:val="Hyperlink"/>
          </w:rPr>
          <w:t>22.1-277.04</w:t>
        </w:r>
      </w:hyperlink>
      <w:r w:rsidR="00644BA0" w:rsidRPr="00837BB7">
        <w:rPr>
          <w:i/>
          <w:iCs/>
          <w:color w:val="000000"/>
          <w:szCs w:val="24"/>
        </w:rPr>
        <w:t xml:space="preserve"> and </w:t>
      </w:r>
      <w:hyperlink r:id="rId12" w:history="1">
        <w:r w:rsidR="00B60627" w:rsidRPr="00EB44A3">
          <w:rPr>
            <w:rStyle w:val="Hyperlink"/>
          </w:rPr>
          <w:t xml:space="preserve">§ </w:t>
        </w:r>
        <w:r w:rsidR="00644BA0" w:rsidRPr="00EB44A3">
          <w:rPr>
            <w:rStyle w:val="Hyperlink"/>
          </w:rPr>
          <w:t>22.1-277.05</w:t>
        </w:r>
      </w:hyperlink>
      <w:r w:rsidR="00644BA0" w:rsidRPr="00837BB7">
        <w:rPr>
          <w:i/>
          <w:iCs/>
          <w:color w:val="000000"/>
          <w:szCs w:val="24"/>
        </w:rPr>
        <w:t xml:space="preserve"> </w:t>
      </w:r>
      <w:r w:rsidR="00644BA0" w:rsidRPr="00837BB7">
        <w:rPr>
          <w:color w:val="000000"/>
          <w:szCs w:val="24"/>
        </w:rPr>
        <w:t xml:space="preserve">of the </w:t>
      </w:r>
      <w:r w:rsidR="00644BA0" w:rsidRPr="00837BB7">
        <w:rPr>
          <w:i/>
          <w:iCs/>
          <w:color w:val="000000"/>
          <w:szCs w:val="24"/>
        </w:rPr>
        <w:t xml:space="preserve">Code of Virginia </w:t>
      </w:r>
      <w:r w:rsidR="00644BA0" w:rsidRPr="00837BB7">
        <w:rPr>
          <w:color w:val="000000"/>
          <w:szCs w:val="24"/>
        </w:rPr>
        <w:t>to require that s</w:t>
      </w:r>
      <w:r w:rsidR="00644BA0" w:rsidRPr="00837BB7">
        <w:rPr>
          <w:szCs w:val="24"/>
        </w:rPr>
        <w:t>chool boards adopt policies and procedures to ensure that suspended students are able to access and complete graded work during and after the suspension.</w:t>
      </w:r>
      <w:r w:rsidR="00FF5F81" w:rsidRPr="00837BB7">
        <w:rPr>
          <w:szCs w:val="24"/>
        </w:rPr>
        <w:t xml:space="preserve"> This recommendation in the 2019 </w:t>
      </w:r>
      <w:r w:rsidR="00FF5F81" w:rsidRPr="00837BB7">
        <w:rPr>
          <w:i/>
          <w:iCs/>
          <w:szCs w:val="24"/>
        </w:rPr>
        <w:t xml:space="preserve">Model Guidance </w:t>
      </w:r>
      <w:r w:rsidR="00FF5F81" w:rsidRPr="00837BB7">
        <w:rPr>
          <w:szCs w:val="24"/>
        </w:rPr>
        <w:t xml:space="preserve">is now a requirement under the </w:t>
      </w:r>
      <w:r w:rsidR="00FF5F81" w:rsidRPr="00837BB7">
        <w:rPr>
          <w:i/>
          <w:iCs/>
          <w:szCs w:val="24"/>
        </w:rPr>
        <w:t>Code of Virginia</w:t>
      </w:r>
      <w:r w:rsidR="00FF5F81" w:rsidRPr="00837BB7">
        <w:rPr>
          <w:szCs w:val="24"/>
        </w:rPr>
        <w:t>.</w:t>
      </w:r>
    </w:p>
    <w:p w14:paraId="0827D58F" w14:textId="77777777" w:rsidR="00A313B1" w:rsidRPr="008D4676" w:rsidRDefault="00A313B1" w:rsidP="003F37C3">
      <w:pPr>
        <w:pStyle w:val="ListParagraph"/>
        <w:numPr>
          <w:ilvl w:val="0"/>
          <w:numId w:val="0"/>
        </w:numPr>
        <w:rPr>
          <w:szCs w:val="24"/>
        </w:rPr>
      </w:pPr>
    </w:p>
    <w:p w14:paraId="13771B89" w14:textId="4E407D12" w:rsidR="00837BB7" w:rsidRDefault="004C44E6" w:rsidP="00B8751C">
      <w:pPr>
        <w:pStyle w:val="ListParagraph"/>
        <w:numPr>
          <w:ilvl w:val="0"/>
          <w:numId w:val="2"/>
        </w:numPr>
        <w:ind w:left="360"/>
      </w:pPr>
      <w:hyperlink r:id="rId13" w:history="1">
        <w:r w:rsidR="000B169B" w:rsidRPr="00FF5F81">
          <w:rPr>
            <w:rStyle w:val="Hyperlink"/>
            <w:szCs w:val="24"/>
          </w:rPr>
          <w:t>Senate Bill 1020</w:t>
        </w:r>
      </w:hyperlink>
      <w:r w:rsidR="000B169B" w:rsidRPr="000B169B">
        <w:rPr>
          <w:color w:val="000000"/>
          <w:szCs w:val="24"/>
        </w:rPr>
        <w:t xml:space="preserve"> </w:t>
      </w:r>
      <w:r w:rsidR="000B169B" w:rsidRPr="000B169B">
        <w:t>add</w:t>
      </w:r>
      <w:r w:rsidR="000B169B">
        <w:t>s</w:t>
      </w:r>
      <w:r w:rsidR="000B169B" w:rsidRPr="000B169B">
        <w:t xml:space="preserve"> a section numbered </w:t>
      </w:r>
      <w:r w:rsidR="00B60627" w:rsidRPr="00F264BE">
        <w:rPr>
          <w:szCs w:val="24"/>
        </w:rPr>
        <w:t xml:space="preserve">§ </w:t>
      </w:r>
      <w:r w:rsidR="000B169B" w:rsidRPr="00F264BE">
        <w:rPr>
          <w:szCs w:val="24"/>
        </w:rPr>
        <w:t>22.1-279.3:3</w:t>
      </w:r>
      <w:r w:rsidR="000B169B" w:rsidRPr="0003530A">
        <w:t xml:space="preserve"> </w:t>
      </w:r>
      <w:r w:rsidR="000B169B">
        <w:t xml:space="preserve">to the </w:t>
      </w:r>
      <w:r w:rsidR="000B169B" w:rsidRPr="000B169B">
        <w:rPr>
          <w:i/>
          <w:iCs/>
        </w:rPr>
        <w:t xml:space="preserve">Code of Virginia </w:t>
      </w:r>
      <w:r w:rsidR="00105B96">
        <w:t xml:space="preserve">allowing </w:t>
      </w:r>
      <w:r w:rsidR="000B169B">
        <w:t>school boards to establish an alternative school discipline process for parties involved in an assault and battery with no injuries</w:t>
      </w:r>
      <w:r w:rsidR="003D4725" w:rsidRPr="0051197B">
        <w:t>,</w:t>
      </w:r>
      <w:r w:rsidR="000B169B" w:rsidRPr="0051197B">
        <w:t xml:space="preserve"> </w:t>
      </w:r>
      <w:r w:rsidR="000B169B" w:rsidRPr="00EB44A3">
        <w:rPr>
          <w:szCs w:val="24"/>
        </w:rPr>
        <w:t xml:space="preserve">(i) of subsection A of </w:t>
      </w:r>
      <w:hyperlink r:id="rId14" w:history="1">
        <w:r w:rsidR="003D4725" w:rsidRPr="00EB44A3">
          <w:rPr>
            <w:rStyle w:val="Hyperlink"/>
            <w:szCs w:val="24"/>
          </w:rPr>
          <w:t>§ 22.1-279.3:1</w:t>
        </w:r>
        <w:r w:rsidR="003D4725" w:rsidRPr="00EB44A3">
          <w:rPr>
            <w:rStyle w:val="Hyperlink"/>
            <w:color w:val="000000" w:themeColor="text1"/>
            <w:szCs w:val="24"/>
            <w:u w:val="none"/>
          </w:rPr>
          <w:t xml:space="preserve">. </w:t>
        </w:r>
      </w:hyperlink>
      <w:r w:rsidR="00105B96" w:rsidRPr="0051197B">
        <w:rPr>
          <w:szCs w:val="24"/>
        </w:rPr>
        <w:t xml:space="preserve">The </w:t>
      </w:r>
      <w:r w:rsidR="00105B96">
        <w:rPr>
          <w:szCs w:val="24"/>
        </w:rPr>
        <w:t xml:space="preserve">new </w:t>
      </w:r>
      <w:r w:rsidR="00105B96" w:rsidRPr="00F264BE">
        <w:rPr>
          <w:i/>
          <w:iCs/>
          <w:szCs w:val="24"/>
        </w:rPr>
        <w:t>Code</w:t>
      </w:r>
      <w:r w:rsidR="00105B96">
        <w:rPr>
          <w:szCs w:val="24"/>
        </w:rPr>
        <w:t xml:space="preserve"> Section </w:t>
      </w:r>
      <w:r w:rsidR="000B169B">
        <w:t xml:space="preserve">states that </w:t>
      </w:r>
      <w:r w:rsidR="00105B96">
        <w:t>“</w:t>
      </w:r>
      <w:r w:rsidR="000B169B">
        <w:t>no principal shall report</w:t>
      </w:r>
      <w:r w:rsidR="00105B96">
        <w:t>”</w:t>
      </w:r>
      <w:r w:rsidR="000B169B">
        <w:t xml:space="preserve"> the incident to law enforcement if the parties complete the establish</w:t>
      </w:r>
      <w:r w:rsidR="00105B96">
        <w:t>ed</w:t>
      </w:r>
      <w:r w:rsidR="000B169B">
        <w:t xml:space="preserve"> alternative school discipline process. This legislation opens the door for school divisions to develop and im</w:t>
      </w:r>
      <w:r w:rsidR="00105B96">
        <w:t>p</w:t>
      </w:r>
      <w:r w:rsidR="000B169B">
        <w:t>le</w:t>
      </w:r>
      <w:r w:rsidR="00105B96">
        <w:t>me</w:t>
      </w:r>
      <w:r w:rsidR="000B169B">
        <w:t xml:space="preserve">nt </w:t>
      </w:r>
      <w:r w:rsidR="00105B96">
        <w:t>restorative</w:t>
      </w:r>
      <w:r w:rsidR="000B169B">
        <w:t xml:space="preserve"> practices </w:t>
      </w:r>
      <w:r w:rsidR="00105B96">
        <w:t xml:space="preserve">and mediation </w:t>
      </w:r>
      <w:r w:rsidR="000B169B">
        <w:t>to address physical altercations that do not result in injury.</w:t>
      </w:r>
    </w:p>
    <w:p w14:paraId="09E6FAC0" w14:textId="17E81BC6" w:rsidR="00A313B1" w:rsidRDefault="00A313B1" w:rsidP="003F37C3">
      <w:pPr>
        <w:pStyle w:val="ListParagraph"/>
        <w:numPr>
          <w:ilvl w:val="0"/>
          <w:numId w:val="0"/>
        </w:numPr>
      </w:pPr>
    </w:p>
    <w:p w14:paraId="48C66504" w14:textId="7523FC9B" w:rsidR="003F37C3" w:rsidRDefault="004C44E6" w:rsidP="00B8751C">
      <w:pPr>
        <w:pStyle w:val="ListParagraph"/>
        <w:numPr>
          <w:ilvl w:val="0"/>
          <w:numId w:val="2"/>
        </w:numPr>
        <w:ind w:left="360"/>
        <w:rPr>
          <w:i/>
          <w:iCs/>
          <w:szCs w:val="24"/>
        </w:rPr>
      </w:pPr>
      <w:hyperlink r:id="rId15" w:history="1">
        <w:r w:rsidR="00416027" w:rsidRPr="009C7E9F">
          <w:rPr>
            <w:rStyle w:val="Hyperlink"/>
          </w:rPr>
          <w:t>House Bill 837</w:t>
        </w:r>
        <w:r w:rsidR="00416027" w:rsidRPr="003F37C3">
          <w:rPr>
            <w:rStyle w:val="Hyperlink"/>
            <w:u w:val="none"/>
          </w:rPr>
          <w:t xml:space="preserve"> </w:t>
        </w:r>
      </w:hyperlink>
      <w:r w:rsidR="00416027" w:rsidRPr="00B8751C">
        <w:t>amends</w:t>
      </w:r>
      <w:r w:rsidR="00416027" w:rsidRPr="003F37C3">
        <w:rPr>
          <w:rFonts w:eastAsiaTheme="minorHAnsi" w:cstheme="minorBidi"/>
        </w:rPr>
        <w:t xml:space="preserve"> and reenacts </w:t>
      </w:r>
      <w:hyperlink r:id="rId16" w:history="1">
        <w:r w:rsidR="009C7E9F" w:rsidRPr="003F37C3">
          <w:rPr>
            <w:rStyle w:val="Hyperlink"/>
            <w:rFonts w:eastAsiaTheme="minorHAnsi" w:cstheme="minorBidi"/>
          </w:rPr>
          <w:t xml:space="preserve">§ </w:t>
        </w:r>
        <w:r w:rsidR="00416027" w:rsidRPr="003F37C3">
          <w:rPr>
            <w:rStyle w:val="Hyperlink"/>
            <w:rFonts w:eastAsiaTheme="minorHAnsi" w:cstheme="minorBidi"/>
          </w:rPr>
          <w:t>22.1-276.01</w:t>
        </w:r>
      </w:hyperlink>
      <w:r w:rsidR="00416027" w:rsidRPr="003F37C3">
        <w:rPr>
          <w:rFonts w:eastAsiaTheme="minorHAnsi" w:cstheme="minorBidi"/>
        </w:rPr>
        <w:t xml:space="preserve"> </w:t>
      </w:r>
      <w:r w:rsidR="000744DA" w:rsidRPr="003F37C3">
        <w:rPr>
          <w:rFonts w:eastAsiaTheme="minorHAnsi" w:cstheme="minorBidi"/>
        </w:rPr>
        <w:t xml:space="preserve">and </w:t>
      </w:r>
      <w:hyperlink r:id="rId17" w:history="1">
        <w:r w:rsidR="001D466B" w:rsidRPr="003F37C3">
          <w:rPr>
            <w:rStyle w:val="Hyperlink"/>
            <w:rFonts w:eastAsiaTheme="minorHAnsi" w:cstheme="minorBidi"/>
          </w:rPr>
          <w:t>§</w:t>
        </w:r>
        <w:r w:rsidR="00837BB7" w:rsidRPr="003F37C3">
          <w:rPr>
            <w:rStyle w:val="Hyperlink"/>
            <w:rFonts w:eastAsiaTheme="minorHAnsi" w:cstheme="minorBidi"/>
          </w:rPr>
          <w:t xml:space="preserve"> </w:t>
        </w:r>
        <w:r w:rsidR="001D466B" w:rsidRPr="003F37C3">
          <w:rPr>
            <w:rStyle w:val="Hyperlink"/>
            <w:rFonts w:eastAsiaTheme="minorHAnsi" w:cstheme="minorBidi"/>
          </w:rPr>
          <w:t>22.1-279.6</w:t>
        </w:r>
        <w:r w:rsidR="001D466B" w:rsidRPr="00F264BE">
          <w:rPr>
            <w:rStyle w:val="Hyperlink"/>
            <w:rFonts w:eastAsiaTheme="minorHAnsi" w:cstheme="minorBidi"/>
            <w:u w:val="none"/>
          </w:rPr>
          <w:t xml:space="preserve"> </w:t>
        </w:r>
      </w:hyperlink>
      <w:r w:rsidR="001D466B" w:rsidRPr="003F37C3">
        <w:rPr>
          <w:rFonts w:eastAsiaTheme="minorHAnsi" w:cstheme="minorBidi"/>
        </w:rPr>
        <w:t xml:space="preserve">of the </w:t>
      </w:r>
      <w:r w:rsidR="001D466B" w:rsidRPr="003F37C3">
        <w:rPr>
          <w:rFonts w:eastAsiaTheme="minorHAnsi" w:cstheme="minorBidi"/>
          <w:i/>
          <w:iCs/>
        </w:rPr>
        <w:t xml:space="preserve">Code of Virginia. </w:t>
      </w:r>
      <w:r w:rsidR="00B60627" w:rsidRPr="00B60627">
        <w:t xml:space="preserve">The </w:t>
      </w:r>
      <w:r w:rsidR="00B60627" w:rsidRPr="003F37C3">
        <w:rPr>
          <w:i/>
        </w:rPr>
        <w:t>Code of Virginia</w:t>
      </w:r>
      <w:r w:rsidR="00B60627">
        <w:t xml:space="preserve"> </w:t>
      </w:r>
      <w:hyperlink r:id="rId18" w:history="1">
        <w:r w:rsidR="001D466B" w:rsidRPr="003F37C3">
          <w:rPr>
            <w:rStyle w:val="Hyperlink"/>
            <w:rFonts w:eastAsiaTheme="minorHAnsi" w:cstheme="minorBidi"/>
            <w:szCs w:val="24"/>
          </w:rPr>
          <w:t>§ 22.1-276.01</w:t>
        </w:r>
        <w:r w:rsidR="001D466B" w:rsidRPr="00F264BE">
          <w:rPr>
            <w:rStyle w:val="Hyperlink"/>
            <w:rFonts w:eastAsiaTheme="minorHAnsi" w:cstheme="minorBidi"/>
            <w:szCs w:val="24"/>
            <w:u w:val="none"/>
          </w:rPr>
          <w:t xml:space="preserve"> </w:t>
        </w:r>
      </w:hyperlink>
      <w:r w:rsidR="001D466B" w:rsidRPr="003F37C3">
        <w:rPr>
          <w:rFonts w:eastAsiaTheme="minorHAnsi" w:cstheme="minorBidi"/>
          <w:szCs w:val="24"/>
        </w:rPr>
        <w:t xml:space="preserve">now includes a definition for dress and grooming: </w:t>
      </w:r>
      <w:r w:rsidR="001D466B" w:rsidRPr="003F37C3">
        <w:rPr>
          <w:i/>
          <w:iCs/>
          <w:szCs w:val="24"/>
        </w:rPr>
        <w:t>"Dress or grooming code" means any practice, policy, or portion of a code of student conduct adopted by a school board that governs or restricts the attire, appearance, or grooming, including hairstyle, of any enrolled student.</w:t>
      </w:r>
    </w:p>
    <w:p w14:paraId="6F104363" w14:textId="77777777" w:rsidR="005F56C3" w:rsidRPr="005F56C3" w:rsidRDefault="005F56C3" w:rsidP="003F37C3">
      <w:pPr>
        <w:pStyle w:val="ListParagraph"/>
        <w:numPr>
          <w:ilvl w:val="0"/>
          <w:numId w:val="0"/>
        </w:numPr>
      </w:pPr>
    </w:p>
    <w:p w14:paraId="0CB256F0" w14:textId="15AA6D09" w:rsidR="00B8751C" w:rsidRDefault="000744DA" w:rsidP="00B8751C">
      <w:pPr>
        <w:pStyle w:val="ListParagraph"/>
        <w:numPr>
          <w:ilvl w:val="0"/>
          <w:numId w:val="0"/>
        </w:numPr>
        <w:ind w:left="360"/>
        <w:rPr>
          <w:rFonts w:eastAsiaTheme="minorHAnsi" w:cstheme="minorBidi"/>
        </w:rPr>
      </w:pPr>
      <w:bookmarkStart w:id="1" w:name="_Hlk42864212"/>
      <w:r>
        <w:rPr>
          <w:rFonts w:eastAsiaTheme="minorHAnsi" w:cstheme="minorBidi"/>
        </w:rPr>
        <w:t xml:space="preserve">In amending </w:t>
      </w:r>
      <w:hyperlink r:id="rId19" w:history="1">
        <w:r w:rsidR="009C7E9F" w:rsidRPr="005F56C3">
          <w:rPr>
            <w:rStyle w:val="Hyperlink"/>
            <w:rFonts w:eastAsiaTheme="minorHAnsi" w:cstheme="minorBidi"/>
          </w:rPr>
          <w:t>§</w:t>
        </w:r>
        <w:r w:rsidR="008D4676" w:rsidRPr="005F56C3">
          <w:rPr>
            <w:rStyle w:val="Hyperlink"/>
            <w:rFonts w:eastAsiaTheme="minorHAnsi" w:cstheme="minorBidi"/>
          </w:rPr>
          <w:t xml:space="preserve"> </w:t>
        </w:r>
        <w:r w:rsidR="00416027" w:rsidRPr="005F56C3">
          <w:rPr>
            <w:rStyle w:val="Hyperlink"/>
            <w:rFonts w:eastAsiaTheme="minorHAnsi" w:cstheme="minorBidi"/>
          </w:rPr>
          <w:t>22.1-279.6</w:t>
        </w:r>
      </w:hyperlink>
      <w:r>
        <w:rPr>
          <w:rFonts w:eastAsiaTheme="minorHAnsi" w:cstheme="minorBidi"/>
        </w:rPr>
        <w:t xml:space="preserve"> </w:t>
      </w:r>
      <w:bookmarkEnd w:id="1"/>
      <w:r>
        <w:rPr>
          <w:rFonts w:eastAsiaTheme="minorHAnsi" w:cstheme="minorBidi"/>
        </w:rPr>
        <w:t>t</w:t>
      </w:r>
      <w:r>
        <w:t xml:space="preserve">he bill permits any school board to include in its code of student conduct a dress or grooming code. For school divisions who do include dress and grooming </w:t>
      </w:r>
      <w:r>
        <w:lastRenderedPageBreak/>
        <w:t xml:space="preserve">standards for students, the amendment </w:t>
      </w:r>
      <w:r>
        <w:rPr>
          <w:rFonts w:eastAsiaTheme="minorHAnsi" w:cstheme="minorBidi"/>
        </w:rPr>
        <w:t>explicitly outlines parameters of those standards as they relate to religion, gender, equity, and privacy.</w:t>
      </w:r>
    </w:p>
    <w:p w14:paraId="0395F0C6" w14:textId="77777777" w:rsidR="00B8751C" w:rsidRDefault="00B8751C" w:rsidP="00B8751C">
      <w:pPr>
        <w:pStyle w:val="ListParagraph"/>
        <w:numPr>
          <w:ilvl w:val="0"/>
          <w:numId w:val="0"/>
        </w:numPr>
        <w:ind w:left="360"/>
        <w:rPr>
          <w:rFonts w:eastAsiaTheme="minorHAnsi" w:cstheme="minorBidi"/>
        </w:rPr>
      </w:pPr>
    </w:p>
    <w:p w14:paraId="6C2BA63D" w14:textId="57A98D43" w:rsidR="004128F9" w:rsidRDefault="000744DA" w:rsidP="00B8751C">
      <w:pPr>
        <w:pStyle w:val="ListParagraph"/>
        <w:numPr>
          <w:ilvl w:val="0"/>
          <w:numId w:val="0"/>
        </w:numPr>
        <w:ind w:left="360"/>
      </w:pPr>
      <w:r>
        <w:t>The bill also requires</w:t>
      </w:r>
      <w:r w:rsidR="00416027">
        <w:t xml:space="preserve"> the Board of Education to include in its guidelines and model policies for codes of student conduct (i) </w:t>
      </w:r>
      <w:bookmarkStart w:id="2" w:name="_Hlk42860051"/>
      <w:r w:rsidR="00416027">
        <w:t>standards for reducing bias and harassment in the enforcement of any code of student conduct</w:t>
      </w:r>
      <w:bookmarkEnd w:id="2"/>
      <w:r w:rsidR="00416027">
        <w:t xml:space="preserve"> and (ii) standards for dress or grooming codes</w:t>
      </w:r>
      <w:r>
        <w:t xml:space="preserve">. </w:t>
      </w:r>
      <w:r w:rsidR="00AB3C33">
        <w:t xml:space="preserve">The </w:t>
      </w:r>
      <w:r w:rsidR="00F264BE">
        <w:t xml:space="preserve">Virginia </w:t>
      </w:r>
      <w:r w:rsidR="00AB3C33">
        <w:t>Department of Education</w:t>
      </w:r>
      <w:r w:rsidR="00F264BE">
        <w:t xml:space="preserve"> (VDOE)</w:t>
      </w:r>
      <w:r w:rsidR="00AB3C33">
        <w:t xml:space="preserve"> is in the process of </w:t>
      </w:r>
      <w:r w:rsidR="00A223FC">
        <w:t xml:space="preserve">revising the </w:t>
      </w:r>
      <w:r w:rsidR="00A223FC" w:rsidRPr="00A223FC">
        <w:rPr>
          <w:i/>
          <w:iCs/>
        </w:rPr>
        <w:t>Model Guidance</w:t>
      </w:r>
      <w:r w:rsidR="00A223FC">
        <w:t xml:space="preserve"> to explicitly address this change</w:t>
      </w:r>
      <w:r w:rsidR="00AB3C33">
        <w:t xml:space="preserve">. </w:t>
      </w:r>
    </w:p>
    <w:p w14:paraId="48E25678" w14:textId="77777777" w:rsidR="00A313B1" w:rsidRDefault="00A313B1" w:rsidP="00B8751C">
      <w:pPr>
        <w:pStyle w:val="ListParagraph"/>
        <w:numPr>
          <w:ilvl w:val="0"/>
          <w:numId w:val="0"/>
        </w:numPr>
        <w:ind w:left="360"/>
      </w:pPr>
    </w:p>
    <w:p w14:paraId="104702F7" w14:textId="27020FEF" w:rsidR="000D1C07" w:rsidRDefault="00AB3C33" w:rsidP="00B8751C">
      <w:pPr>
        <w:pStyle w:val="ListParagraph"/>
        <w:numPr>
          <w:ilvl w:val="0"/>
          <w:numId w:val="0"/>
        </w:numPr>
        <w:ind w:left="360"/>
      </w:pPr>
      <w:r>
        <w:t xml:space="preserve">It should be noted that </w:t>
      </w:r>
      <w:r w:rsidR="004A16D6">
        <w:t xml:space="preserve">while </w:t>
      </w:r>
      <w:r>
        <w:t>the</w:t>
      </w:r>
      <w:r w:rsidR="004A16D6">
        <w:t xml:space="preserve"> </w:t>
      </w:r>
      <w:r w:rsidR="00A95D77">
        <w:t>201</w:t>
      </w:r>
      <w:r w:rsidR="00A313B1">
        <w:t xml:space="preserve">9 </w:t>
      </w:r>
      <w:r w:rsidR="004A16D6" w:rsidRPr="00A313B1">
        <w:rPr>
          <w:i/>
          <w:iCs/>
        </w:rPr>
        <w:t>Model Guidance</w:t>
      </w:r>
      <w:r w:rsidR="004A16D6">
        <w:t xml:space="preserve"> recommends that school boards </w:t>
      </w:r>
      <w:bookmarkStart w:id="3" w:name="_Hlk42859497"/>
      <w:r w:rsidR="00A95D77">
        <w:t xml:space="preserve">implement measures to </w:t>
      </w:r>
      <w:r w:rsidR="00A95D77" w:rsidRPr="009C19F0">
        <w:t>ensure the equitable application of school discipline policies, practices, and procedures</w:t>
      </w:r>
      <w:bookmarkEnd w:id="3"/>
      <w:r w:rsidR="00A95D77">
        <w:t xml:space="preserve">, </w:t>
      </w:r>
      <w:hyperlink r:id="rId20" w:history="1">
        <w:r w:rsidR="004A16D6" w:rsidRPr="00CB4180">
          <w:rPr>
            <w:rStyle w:val="Hyperlink"/>
          </w:rPr>
          <w:t>House Bill 837</w:t>
        </w:r>
      </w:hyperlink>
      <w:r w:rsidR="004A16D6">
        <w:t xml:space="preserve"> makes </w:t>
      </w:r>
      <w:r w:rsidR="00A95D77">
        <w:t>including</w:t>
      </w:r>
      <w:r w:rsidR="004A16D6">
        <w:t xml:space="preserve"> </w:t>
      </w:r>
      <w:r w:rsidR="00A95D77">
        <w:t xml:space="preserve">standards for reducing bias and harassment in the enforcement of any code of student conduct </w:t>
      </w:r>
      <w:r w:rsidR="004A16D6">
        <w:t>a requirement</w:t>
      </w:r>
      <w:r w:rsidR="004A16D6" w:rsidRPr="004A16D6">
        <w:t>.</w:t>
      </w:r>
      <w:r w:rsidR="00A95D77">
        <w:t xml:space="preserve"> The 2019 </w:t>
      </w:r>
      <w:r w:rsidR="00A95D77" w:rsidRPr="00A313B1">
        <w:rPr>
          <w:i/>
          <w:iCs/>
        </w:rPr>
        <w:t>Model Guidance</w:t>
      </w:r>
      <w:r w:rsidR="00A95D77">
        <w:t xml:space="preserve"> includes resources to support school boards in develop</w:t>
      </w:r>
      <w:r w:rsidR="00A223FC">
        <w:t>ing</w:t>
      </w:r>
      <w:r w:rsidR="00A95D77">
        <w:t xml:space="preserve"> the standards now required by</w:t>
      </w:r>
      <w:r w:rsidR="00B8751C">
        <w:t xml:space="preserve"> </w:t>
      </w:r>
      <w:hyperlink r:id="rId21" w:history="1">
        <w:r w:rsidR="00A95D77" w:rsidRPr="005F56C3">
          <w:rPr>
            <w:rStyle w:val="Hyperlink"/>
          </w:rPr>
          <w:t>§ 22.1-279.6</w:t>
        </w:r>
      </w:hyperlink>
      <w:r w:rsidR="00A95D77">
        <w:t xml:space="preserve"> of the </w:t>
      </w:r>
      <w:r w:rsidR="00A95D77" w:rsidRPr="00A313B1">
        <w:rPr>
          <w:i/>
          <w:iCs/>
        </w:rPr>
        <w:t>Code of Virginia.</w:t>
      </w:r>
      <w:r w:rsidR="006323A0">
        <w:t xml:space="preserve"> </w:t>
      </w:r>
      <w:r w:rsidR="000D1C07">
        <w:t>The</w:t>
      </w:r>
      <w:r w:rsidR="008D4676">
        <w:t xml:space="preserve"> </w:t>
      </w:r>
      <w:r w:rsidR="000D1C07">
        <w:t xml:space="preserve">2019 </w:t>
      </w:r>
      <w:r w:rsidR="000D1C07" w:rsidRPr="00A313B1">
        <w:rPr>
          <w:i/>
          <w:iCs/>
        </w:rPr>
        <w:t>Model Guidance</w:t>
      </w:r>
      <w:r w:rsidR="000D1C07">
        <w:t xml:space="preserve"> does not include specific guidance for dress or grooming codes, but it does recommend that establishing </w:t>
      </w:r>
      <w:r w:rsidR="000D1C07" w:rsidRPr="000D1C07">
        <w:t>standards for dress should involve all members of the school community</w:t>
      </w:r>
      <w:r w:rsidR="000D1C07">
        <w:t xml:space="preserve"> and that </w:t>
      </w:r>
      <w:r w:rsidR="000D1C07" w:rsidRPr="000D1C07">
        <w:t xml:space="preserve">dress code violations </w:t>
      </w:r>
      <w:r w:rsidR="000D1C07">
        <w:t xml:space="preserve">should not be </w:t>
      </w:r>
      <w:r w:rsidR="000D1C07" w:rsidRPr="000D1C07">
        <w:t xml:space="preserve">viewed as instances of defiance or disruption. </w:t>
      </w:r>
      <w:r w:rsidR="001E02E1">
        <w:t>The VDOE plans to develop m</w:t>
      </w:r>
      <w:r w:rsidR="000D1C07">
        <w:t>ore specific guidance for establishing standards for dress and grooming</w:t>
      </w:r>
      <w:r w:rsidR="00A313B1">
        <w:t>,</w:t>
      </w:r>
      <w:r w:rsidR="000D1C07">
        <w:t xml:space="preserve"> </w:t>
      </w:r>
      <w:r w:rsidR="00A313B1">
        <w:t xml:space="preserve">including </w:t>
      </w:r>
      <w:r w:rsidR="001E02E1">
        <w:t>working with</w:t>
      </w:r>
      <w:r w:rsidR="000D1C07">
        <w:t xml:space="preserve"> a stakeholder group that is diverse and includes student </w:t>
      </w:r>
      <w:r w:rsidR="001E02E1">
        <w:t xml:space="preserve">and family </w:t>
      </w:r>
      <w:r w:rsidR="000D1C07">
        <w:t>voices</w:t>
      </w:r>
      <w:r w:rsidR="001E02E1">
        <w:t>.</w:t>
      </w:r>
      <w:r w:rsidR="000744DA">
        <w:t xml:space="preserve"> </w:t>
      </w:r>
    </w:p>
    <w:p w14:paraId="7F28F1B9" w14:textId="77777777" w:rsidR="00685D70" w:rsidRDefault="00685D70" w:rsidP="003F37C3">
      <w:pPr>
        <w:spacing w:after="0" w:line="240" w:lineRule="auto"/>
      </w:pPr>
    </w:p>
    <w:p w14:paraId="1C20394C" w14:textId="1589827C" w:rsidR="007E5D5F" w:rsidRPr="00685D70" w:rsidRDefault="004C44E6" w:rsidP="00B8751C">
      <w:pPr>
        <w:pStyle w:val="ListParagraph"/>
        <w:numPr>
          <w:ilvl w:val="0"/>
          <w:numId w:val="2"/>
        </w:numPr>
        <w:ind w:left="360"/>
        <w:rPr>
          <w:iCs/>
        </w:rPr>
      </w:pPr>
      <w:hyperlink r:id="rId22" w:history="1">
        <w:r w:rsidR="00A223FC" w:rsidRPr="00685D70">
          <w:rPr>
            <w:rStyle w:val="Hyperlink"/>
          </w:rPr>
          <w:t>House Bill 256</w:t>
        </w:r>
      </w:hyperlink>
      <w:r w:rsidR="00A223FC" w:rsidRPr="00685D70">
        <w:t xml:space="preserve"> </w:t>
      </w:r>
      <w:r w:rsidR="00E25C6C" w:rsidRPr="00685D70">
        <w:rPr>
          <w:rFonts w:eastAsiaTheme="minorHAnsi" w:cstheme="minorBidi"/>
        </w:rPr>
        <w:t xml:space="preserve">amends </w:t>
      </w:r>
      <w:hyperlink r:id="rId23" w:history="1">
        <w:r w:rsidR="005F56C3" w:rsidRPr="005F56C3">
          <w:rPr>
            <w:rStyle w:val="Hyperlink"/>
            <w:rFonts w:eastAsiaTheme="minorHAnsi" w:cstheme="minorBidi"/>
          </w:rPr>
          <w:t>§ 18.2-415</w:t>
        </w:r>
      </w:hyperlink>
      <w:r w:rsidR="005F56C3">
        <w:rPr>
          <w:rFonts w:eastAsiaTheme="minorHAnsi" w:cstheme="minorBidi"/>
        </w:rPr>
        <w:t xml:space="preserve"> of </w:t>
      </w:r>
      <w:r w:rsidR="00E25C6C" w:rsidRPr="00685D70">
        <w:rPr>
          <w:rFonts w:eastAsiaTheme="minorHAnsi" w:cstheme="minorBidi"/>
        </w:rPr>
        <w:t>the</w:t>
      </w:r>
      <w:r w:rsidR="00E25C6C" w:rsidRPr="00685D70">
        <w:rPr>
          <w:rFonts w:eastAsiaTheme="minorHAnsi" w:cstheme="minorBidi"/>
          <w:iCs/>
        </w:rPr>
        <w:t xml:space="preserve"> </w:t>
      </w:r>
      <w:r w:rsidR="00E25C6C" w:rsidRPr="005F56C3">
        <w:rPr>
          <w:rFonts w:eastAsiaTheme="minorHAnsi" w:cstheme="minorBidi"/>
          <w:i/>
          <w:iCs/>
        </w:rPr>
        <w:t>Code of Virginia</w:t>
      </w:r>
      <w:r w:rsidR="00E25C6C" w:rsidRPr="00685D70">
        <w:rPr>
          <w:rFonts w:eastAsiaTheme="minorHAnsi" w:cstheme="minorBidi"/>
          <w:iCs/>
        </w:rPr>
        <w:t xml:space="preserve"> </w:t>
      </w:r>
      <w:r w:rsidR="00E25C6C" w:rsidRPr="00685D70">
        <w:rPr>
          <w:rFonts w:eastAsiaTheme="minorHAnsi" w:cstheme="minorBidi"/>
        </w:rPr>
        <w:t>to</w:t>
      </w:r>
      <w:r w:rsidR="00E25C6C" w:rsidRPr="00685D70">
        <w:rPr>
          <w:rFonts w:eastAsiaTheme="minorHAnsi" w:cstheme="minorBidi"/>
          <w:iCs/>
        </w:rPr>
        <w:t xml:space="preserve"> </w:t>
      </w:r>
      <w:r w:rsidR="00A223FC" w:rsidRPr="00685D70">
        <w:t>p</w:t>
      </w:r>
      <w:r w:rsidR="004A16D6" w:rsidRPr="00685D70">
        <w:t xml:space="preserve">rovide that an elementary or secondary school student is </w:t>
      </w:r>
      <w:r w:rsidR="004A16D6" w:rsidRPr="00F264BE">
        <w:rPr>
          <w:b/>
          <w:bCs/>
        </w:rPr>
        <w:t>not guilty</w:t>
      </w:r>
      <w:r w:rsidR="004A16D6" w:rsidRPr="00685D70">
        <w:t xml:space="preserve"> of disorderly conduct in a public place if the disorderly </w:t>
      </w:r>
      <w:r w:rsidR="004A16D6" w:rsidRPr="00B8751C">
        <w:rPr>
          <w:rFonts w:eastAsiaTheme="minorHAnsi" w:cstheme="minorBidi"/>
        </w:rPr>
        <w:t>conduct</w:t>
      </w:r>
      <w:r w:rsidR="004A16D6" w:rsidRPr="00685D70">
        <w:t xml:space="preserve"> occurred on the property of an elementary or secondary school, on a school bus, or at any activity conducted or sponsored by any elementary or secondary school.</w:t>
      </w:r>
      <w:r w:rsidR="004A2E2D" w:rsidRPr="00685D70">
        <w:t xml:space="preserve"> The 2019 </w:t>
      </w:r>
      <w:r w:rsidR="004A2E2D" w:rsidRPr="00685D70">
        <w:rPr>
          <w:iCs/>
        </w:rPr>
        <w:t>Model Guidance</w:t>
      </w:r>
      <w:r w:rsidR="004A2E2D" w:rsidRPr="00685D70">
        <w:t xml:space="preserve"> does not include “disorderly conduct” as a behavior for which students can be disciplined</w:t>
      </w:r>
      <w:r w:rsidR="00611BEE" w:rsidRPr="00685D70">
        <w:t>,</w:t>
      </w:r>
      <w:r w:rsidR="004A2E2D" w:rsidRPr="00685D70">
        <w:t xml:space="preserve"> and it is not a behavior included in the Student Behavior and Administrative Response </w:t>
      </w:r>
      <w:r w:rsidR="00611BEE" w:rsidRPr="00685D70">
        <w:t xml:space="preserve">(SBAR) </w:t>
      </w:r>
      <w:r w:rsidR="004A2E2D" w:rsidRPr="00685D70">
        <w:t>data collection, which will be implemented in the fall of 2021.</w:t>
      </w:r>
      <w:r w:rsidR="00F32276" w:rsidRPr="00685D70">
        <w:t xml:space="preserve"> </w:t>
      </w:r>
    </w:p>
    <w:p w14:paraId="1A225A6A" w14:textId="77777777" w:rsidR="00A313B1" w:rsidRPr="00A86056" w:rsidRDefault="00A313B1" w:rsidP="003F37C3">
      <w:pPr>
        <w:pStyle w:val="ListParagraph"/>
        <w:numPr>
          <w:ilvl w:val="0"/>
          <w:numId w:val="0"/>
        </w:numPr>
        <w:rPr>
          <w:iCs/>
        </w:rPr>
      </w:pPr>
    </w:p>
    <w:p w14:paraId="31231121" w14:textId="5173C7CC" w:rsidR="00F32276" w:rsidRPr="00B8751C" w:rsidRDefault="004C44E6" w:rsidP="00B8751C">
      <w:pPr>
        <w:pStyle w:val="ListParagraph"/>
        <w:numPr>
          <w:ilvl w:val="0"/>
          <w:numId w:val="2"/>
        </w:numPr>
        <w:ind w:left="360"/>
        <w:rPr>
          <w:iCs/>
        </w:rPr>
      </w:pPr>
      <w:hyperlink r:id="rId24" w:history="1">
        <w:r w:rsidR="00A86056" w:rsidRPr="00A86056">
          <w:rPr>
            <w:rStyle w:val="Hyperlink"/>
          </w:rPr>
          <w:t>House Bill 257</w:t>
        </w:r>
        <w:r w:rsidR="00A86056">
          <w:rPr>
            <w:rStyle w:val="Hyperlink"/>
            <w:u w:val="none"/>
          </w:rPr>
          <w:t xml:space="preserve"> </w:t>
        </w:r>
      </w:hyperlink>
      <w:r w:rsidR="00A86056" w:rsidRPr="00A86056">
        <w:rPr>
          <w:rStyle w:val="Hyperlink"/>
          <w:color w:val="auto"/>
          <w:u w:val="none"/>
        </w:rPr>
        <w:t xml:space="preserve">and SB729 </w:t>
      </w:r>
      <w:r w:rsidR="00262745" w:rsidRPr="00685D70">
        <w:t xml:space="preserve">eliminates </w:t>
      </w:r>
      <w:r w:rsidR="00262745" w:rsidRPr="00B8751C">
        <w:rPr>
          <w:rFonts w:eastAsiaTheme="minorHAnsi" w:cstheme="minorBidi"/>
        </w:rPr>
        <w:t>the</w:t>
      </w:r>
      <w:r w:rsidR="00262745" w:rsidRPr="00685D70">
        <w:t xml:space="preserve"> requirement that school principals report to law enforcement certain enumerated acts that may constitute a misdemeanor offense as outlined in </w:t>
      </w:r>
      <w:r w:rsidR="009445D9" w:rsidRPr="00685D70">
        <w:t xml:space="preserve">subsection A of </w:t>
      </w:r>
      <w:hyperlink r:id="rId25" w:history="1">
        <w:r w:rsidR="00262745" w:rsidRPr="00A86056">
          <w:rPr>
            <w:rStyle w:val="Hyperlink"/>
            <w:rFonts w:eastAsiaTheme="minorHAnsi" w:cstheme="minorBidi"/>
          </w:rPr>
          <w:t>§ 22.1-279.3:1</w:t>
        </w:r>
        <w:r w:rsidR="00AB3082" w:rsidRPr="00A86056">
          <w:rPr>
            <w:rStyle w:val="Hyperlink"/>
            <w:rFonts w:eastAsiaTheme="minorHAnsi" w:cstheme="minorBidi"/>
          </w:rPr>
          <w:t>.</w:t>
        </w:r>
      </w:hyperlink>
      <w:r w:rsidR="00AB3082">
        <w:rPr>
          <w:rFonts w:eastAsiaTheme="minorHAnsi" w:cstheme="minorBidi"/>
        </w:rPr>
        <w:t xml:space="preserve"> </w:t>
      </w:r>
      <w:r w:rsidR="007E5D5F" w:rsidRPr="00685D70">
        <w:rPr>
          <w:rFonts w:eastAsiaTheme="minorHAnsi" w:cstheme="minorBidi"/>
        </w:rPr>
        <w:t>Subsection D requires those acts to be reported if they may constitute a felony. Further, t</w:t>
      </w:r>
      <w:r w:rsidR="009445D9" w:rsidRPr="00685D70">
        <w:t xml:space="preserve">he principal shall also immediately report </w:t>
      </w:r>
      <w:r w:rsidR="007E5D5F" w:rsidRPr="00685D70">
        <w:t>to the parents of any minor student who is the specific object of any act enumerated in clauses (ii) through (v) of subsection A that may constitute a criminal offense as to</w:t>
      </w:r>
      <w:r w:rsidR="007E5D5F" w:rsidRPr="00685D70">
        <w:rPr>
          <w:iCs/>
        </w:rPr>
        <w:t xml:space="preserve"> whether</w:t>
      </w:r>
      <w:r w:rsidR="007E5D5F" w:rsidRPr="00685D70">
        <w:t xml:space="preserve"> the incident has been reported to local law enforcement. </w:t>
      </w:r>
    </w:p>
    <w:p w14:paraId="3D3DA7C2" w14:textId="77777777" w:rsidR="00B8751C" w:rsidRPr="00B8751C" w:rsidRDefault="00B8751C" w:rsidP="00B8751C">
      <w:pPr>
        <w:spacing w:after="0" w:line="240" w:lineRule="auto"/>
        <w:ind w:left="360"/>
        <w:rPr>
          <w:iCs/>
        </w:rPr>
      </w:pPr>
    </w:p>
    <w:p w14:paraId="1A2CEDC2" w14:textId="3D439103" w:rsidR="006323A0" w:rsidRDefault="00F73228" w:rsidP="00B8751C">
      <w:pPr>
        <w:pStyle w:val="ListParagraph"/>
        <w:numPr>
          <w:ilvl w:val="0"/>
          <w:numId w:val="0"/>
        </w:numPr>
        <w:ind w:left="360"/>
      </w:pPr>
      <w:r>
        <w:t xml:space="preserve">The VDOE is in the process of developing guidance for school divisions on reports to law enforcement. The guidance will include data reporting requirements for the Discipline, Crime, and Violence (DCV) and the SBAR data collections. </w:t>
      </w:r>
    </w:p>
    <w:p w14:paraId="3A9868C2" w14:textId="77777777" w:rsidR="006323A0" w:rsidRDefault="006323A0" w:rsidP="005F56C3">
      <w:pPr>
        <w:pStyle w:val="ListParagraph"/>
        <w:numPr>
          <w:ilvl w:val="0"/>
          <w:numId w:val="0"/>
        </w:numPr>
      </w:pPr>
    </w:p>
    <w:p w14:paraId="3CC2A4B1" w14:textId="7452F8DD" w:rsidR="004A2E2D" w:rsidRPr="005F56C3" w:rsidRDefault="00A313B1" w:rsidP="005F56C3">
      <w:pPr>
        <w:pStyle w:val="ListParagraph"/>
        <w:numPr>
          <w:ilvl w:val="0"/>
          <w:numId w:val="0"/>
        </w:numPr>
      </w:pPr>
      <w:r>
        <w:t xml:space="preserve">For questions regarding the </w:t>
      </w:r>
      <w:r w:rsidRPr="00644BA0">
        <w:rPr>
          <w:i/>
          <w:iCs/>
        </w:rPr>
        <w:t>Model Guidance for Positive and Preventative Code of Student Conduct and Alternatives to Suspension</w:t>
      </w:r>
      <w:r>
        <w:rPr>
          <w:i/>
          <w:iCs/>
        </w:rPr>
        <w:t xml:space="preserve"> (Model Guidance</w:t>
      </w:r>
      <w:r w:rsidR="00297956">
        <w:rPr>
          <w:i/>
          <w:iCs/>
        </w:rPr>
        <w:t xml:space="preserve">), </w:t>
      </w:r>
      <w:r>
        <w:rPr>
          <w:iCs/>
        </w:rPr>
        <w:t>please contact Rebecca Kahila</w:t>
      </w:r>
      <w:r w:rsidR="00633FC6">
        <w:rPr>
          <w:iCs/>
        </w:rPr>
        <w:t>, School Safety and Discipline Specialist, Office of Student Services,</w:t>
      </w:r>
      <w:r>
        <w:rPr>
          <w:iCs/>
        </w:rPr>
        <w:t xml:space="preserve"> by email at </w:t>
      </w:r>
      <w:hyperlink r:id="rId26" w:history="1">
        <w:r w:rsidRPr="00BA556A">
          <w:rPr>
            <w:rStyle w:val="Hyperlink"/>
            <w:iCs/>
          </w:rPr>
          <w:t>Rebecca.Kahila@doe.virginia.gov</w:t>
        </w:r>
      </w:hyperlink>
      <w:r w:rsidR="00B60627">
        <w:rPr>
          <w:iCs/>
        </w:rPr>
        <w:t xml:space="preserve">, </w:t>
      </w:r>
      <w:r w:rsidR="00B60627" w:rsidRPr="00B60627">
        <w:rPr>
          <w:iCs/>
        </w:rPr>
        <w:t>or by telephone at</w:t>
      </w:r>
      <w:r w:rsidR="00CC3383">
        <w:rPr>
          <w:iCs/>
        </w:rPr>
        <w:t xml:space="preserve"> </w:t>
      </w:r>
      <w:r w:rsidR="0066489F" w:rsidRPr="0066489F">
        <w:rPr>
          <w:iCs/>
        </w:rPr>
        <w:t>(804)</w:t>
      </w:r>
      <w:r w:rsidR="00DA7EF9">
        <w:rPr>
          <w:iCs/>
        </w:rPr>
        <w:t xml:space="preserve"> </w:t>
      </w:r>
      <w:r w:rsidR="0066489F" w:rsidRPr="0066489F">
        <w:rPr>
          <w:iCs/>
        </w:rPr>
        <w:t>225-4654</w:t>
      </w:r>
      <w:r w:rsidR="00F264BE">
        <w:rPr>
          <w:iCs/>
        </w:rPr>
        <w:t>.</w:t>
      </w:r>
    </w:p>
    <w:p w14:paraId="0C8D4EF3" w14:textId="241A82E4" w:rsidR="005F56C3" w:rsidRDefault="005F56C3" w:rsidP="003F37C3">
      <w:pPr>
        <w:spacing w:after="0" w:line="240" w:lineRule="auto"/>
      </w:pPr>
    </w:p>
    <w:p w14:paraId="5731873C" w14:textId="0D3C4674" w:rsidR="007C0B3F" w:rsidRPr="00611BEE" w:rsidRDefault="005E064F" w:rsidP="003F37C3">
      <w:pPr>
        <w:rPr>
          <w:color w:val="000000"/>
          <w:szCs w:val="24"/>
        </w:rPr>
      </w:pPr>
      <w:r w:rsidRPr="002F2AF8">
        <w:rPr>
          <w:rStyle w:val="PlaceholderText"/>
          <w:color w:val="auto"/>
          <w:szCs w:val="24"/>
        </w:rPr>
        <w:t>FL/</w:t>
      </w:r>
      <w:r w:rsidR="00DB1FA2">
        <w:rPr>
          <w:color w:val="000000"/>
          <w:szCs w:val="24"/>
        </w:rPr>
        <w:t>RCK</w:t>
      </w:r>
      <w:r w:rsidR="00F32276">
        <w:rPr>
          <w:color w:val="000000"/>
          <w:szCs w:val="24"/>
        </w:rPr>
        <w:t xml:space="preserve"> </w:t>
      </w:r>
      <w:r w:rsidR="008D4676">
        <w:rPr>
          <w:color w:val="000000"/>
          <w:szCs w:val="24"/>
        </w:rPr>
        <w:t>/rge</w:t>
      </w:r>
    </w:p>
    <w:sectPr w:rsidR="007C0B3F" w:rsidRPr="00611BEE" w:rsidSect="00B831ED">
      <w:pgSz w:w="12240" w:h="15840"/>
      <w:pgMar w:top="1152" w:right="1440" w:bottom="1152"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CA2993" w16cid:durableId="22B1ABE1"/>
  <w16cid:commentId w16cid:paraId="1A2DD102" w16cid:durableId="22B1ABA4"/>
  <w16cid:commentId w16cid:paraId="010C994A" w16cid:durableId="22B1AA67"/>
  <w16cid:commentId w16cid:paraId="6C7784C0" w16cid:durableId="22B1AA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8516B" w14:textId="77777777" w:rsidR="004C44E6" w:rsidRDefault="004C44E6" w:rsidP="00B25322">
      <w:pPr>
        <w:spacing w:after="0" w:line="240" w:lineRule="auto"/>
      </w:pPr>
      <w:r>
        <w:separator/>
      </w:r>
    </w:p>
  </w:endnote>
  <w:endnote w:type="continuationSeparator" w:id="0">
    <w:p w14:paraId="3AB0641C" w14:textId="77777777" w:rsidR="004C44E6" w:rsidRDefault="004C44E6"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BE662" w14:textId="77777777" w:rsidR="004C44E6" w:rsidRDefault="004C44E6" w:rsidP="00B25322">
      <w:pPr>
        <w:spacing w:after="0" w:line="240" w:lineRule="auto"/>
      </w:pPr>
      <w:r>
        <w:separator/>
      </w:r>
    </w:p>
  </w:footnote>
  <w:footnote w:type="continuationSeparator" w:id="0">
    <w:p w14:paraId="17E7ABEE" w14:textId="77777777" w:rsidR="004C44E6" w:rsidRDefault="004C44E6"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43E85"/>
    <w:multiLevelType w:val="hybridMultilevel"/>
    <w:tmpl w:val="CBF289B2"/>
    <w:lvl w:ilvl="0" w:tplc="DA0EF47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530A"/>
    <w:rsid w:val="00062952"/>
    <w:rsid w:val="000744DA"/>
    <w:rsid w:val="00082A4D"/>
    <w:rsid w:val="000A4F52"/>
    <w:rsid w:val="000A62DF"/>
    <w:rsid w:val="000B169B"/>
    <w:rsid w:val="000B1D87"/>
    <w:rsid w:val="000D1C07"/>
    <w:rsid w:val="000E2D83"/>
    <w:rsid w:val="000F6075"/>
    <w:rsid w:val="00105B96"/>
    <w:rsid w:val="00167950"/>
    <w:rsid w:val="001818FF"/>
    <w:rsid w:val="001D466B"/>
    <w:rsid w:val="001E02E1"/>
    <w:rsid w:val="001F3072"/>
    <w:rsid w:val="00216073"/>
    <w:rsid w:val="00223595"/>
    <w:rsid w:val="00227B1E"/>
    <w:rsid w:val="00256657"/>
    <w:rsid w:val="00262745"/>
    <w:rsid w:val="00264FEA"/>
    <w:rsid w:val="0027145D"/>
    <w:rsid w:val="00297956"/>
    <w:rsid w:val="002A6350"/>
    <w:rsid w:val="002B35E9"/>
    <w:rsid w:val="002F2AF8"/>
    <w:rsid w:val="002F2DAF"/>
    <w:rsid w:val="0031177E"/>
    <w:rsid w:val="003238EA"/>
    <w:rsid w:val="003731A7"/>
    <w:rsid w:val="00376CCD"/>
    <w:rsid w:val="003B3518"/>
    <w:rsid w:val="003D4725"/>
    <w:rsid w:val="003F37C3"/>
    <w:rsid w:val="00406FF4"/>
    <w:rsid w:val="004128F9"/>
    <w:rsid w:val="00414707"/>
    <w:rsid w:val="00416027"/>
    <w:rsid w:val="004437FE"/>
    <w:rsid w:val="00480FC5"/>
    <w:rsid w:val="004A16D6"/>
    <w:rsid w:val="004A2E2D"/>
    <w:rsid w:val="004C44E6"/>
    <w:rsid w:val="004F6547"/>
    <w:rsid w:val="00510B60"/>
    <w:rsid w:val="0051197B"/>
    <w:rsid w:val="0056212C"/>
    <w:rsid w:val="005840A5"/>
    <w:rsid w:val="005C00E3"/>
    <w:rsid w:val="005E064F"/>
    <w:rsid w:val="005E06EF"/>
    <w:rsid w:val="005F56C3"/>
    <w:rsid w:val="00611BEE"/>
    <w:rsid w:val="00625A9B"/>
    <w:rsid w:val="006323A0"/>
    <w:rsid w:val="00633FC6"/>
    <w:rsid w:val="00644BA0"/>
    <w:rsid w:val="00653DCC"/>
    <w:rsid w:val="0066489F"/>
    <w:rsid w:val="00685D70"/>
    <w:rsid w:val="006F488F"/>
    <w:rsid w:val="00726AE8"/>
    <w:rsid w:val="0073236D"/>
    <w:rsid w:val="00756255"/>
    <w:rsid w:val="007924DD"/>
    <w:rsid w:val="00793593"/>
    <w:rsid w:val="007A73B4"/>
    <w:rsid w:val="007C0B3F"/>
    <w:rsid w:val="007C3E67"/>
    <w:rsid w:val="007E2B7D"/>
    <w:rsid w:val="007E5D5F"/>
    <w:rsid w:val="00837BB7"/>
    <w:rsid w:val="00851C0B"/>
    <w:rsid w:val="008631A7"/>
    <w:rsid w:val="008B2829"/>
    <w:rsid w:val="008C4A46"/>
    <w:rsid w:val="008D4676"/>
    <w:rsid w:val="009029D2"/>
    <w:rsid w:val="00927FE6"/>
    <w:rsid w:val="009445D9"/>
    <w:rsid w:val="009675AA"/>
    <w:rsid w:val="00977AFA"/>
    <w:rsid w:val="009840BD"/>
    <w:rsid w:val="009B51FA"/>
    <w:rsid w:val="009C7253"/>
    <w:rsid w:val="009C7E9F"/>
    <w:rsid w:val="009E38A6"/>
    <w:rsid w:val="00A223FC"/>
    <w:rsid w:val="00A26586"/>
    <w:rsid w:val="00A30BC9"/>
    <w:rsid w:val="00A313B1"/>
    <w:rsid w:val="00A3144F"/>
    <w:rsid w:val="00A43E53"/>
    <w:rsid w:val="00A6446D"/>
    <w:rsid w:val="00A65EE6"/>
    <w:rsid w:val="00A67B2F"/>
    <w:rsid w:val="00A81436"/>
    <w:rsid w:val="00A86056"/>
    <w:rsid w:val="00A95D77"/>
    <w:rsid w:val="00AB3082"/>
    <w:rsid w:val="00AB3C33"/>
    <w:rsid w:val="00AE65FD"/>
    <w:rsid w:val="00B01E92"/>
    <w:rsid w:val="00B0455D"/>
    <w:rsid w:val="00B134A1"/>
    <w:rsid w:val="00B17CC6"/>
    <w:rsid w:val="00B25322"/>
    <w:rsid w:val="00B276D2"/>
    <w:rsid w:val="00B60627"/>
    <w:rsid w:val="00B831ED"/>
    <w:rsid w:val="00B8751C"/>
    <w:rsid w:val="00BC1A9C"/>
    <w:rsid w:val="00BC3169"/>
    <w:rsid w:val="00BD4FF8"/>
    <w:rsid w:val="00BE00E6"/>
    <w:rsid w:val="00BF3D54"/>
    <w:rsid w:val="00C03CC7"/>
    <w:rsid w:val="00C23584"/>
    <w:rsid w:val="00C25FA1"/>
    <w:rsid w:val="00C61EF3"/>
    <w:rsid w:val="00C70056"/>
    <w:rsid w:val="00C82BC7"/>
    <w:rsid w:val="00CA70A4"/>
    <w:rsid w:val="00CB4180"/>
    <w:rsid w:val="00CC3383"/>
    <w:rsid w:val="00CF0233"/>
    <w:rsid w:val="00D145BF"/>
    <w:rsid w:val="00D534B4"/>
    <w:rsid w:val="00D55B56"/>
    <w:rsid w:val="00D95780"/>
    <w:rsid w:val="00DA0871"/>
    <w:rsid w:val="00DA14B1"/>
    <w:rsid w:val="00DA7EF9"/>
    <w:rsid w:val="00DB1FA2"/>
    <w:rsid w:val="00DB2155"/>
    <w:rsid w:val="00DD368F"/>
    <w:rsid w:val="00DD5331"/>
    <w:rsid w:val="00DE36A1"/>
    <w:rsid w:val="00DE4293"/>
    <w:rsid w:val="00DF3305"/>
    <w:rsid w:val="00E06472"/>
    <w:rsid w:val="00E12E2F"/>
    <w:rsid w:val="00E25C6C"/>
    <w:rsid w:val="00E26FC5"/>
    <w:rsid w:val="00E4085F"/>
    <w:rsid w:val="00E75FCE"/>
    <w:rsid w:val="00E760E6"/>
    <w:rsid w:val="00E93616"/>
    <w:rsid w:val="00EB44A3"/>
    <w:rsid w:val="00ED79E7"/>
    <w:rsid w:val="00F264BE"/>
    <w:rsid w:val="00F32276"/>
    <w:rsid w:val="00F41943"/>
    <w:rsid w:val="00F73228"/>
    <w:rsid w:val="00F81813"/>
    <w:rsid w:val="00F957E8"/>
    <w:rsid w:val="00FA7611"/>
    <w:rsid w:val="00FB24B9"/>
    <w:rsid w:val="00FF1C39"/>
    <w:rsid w:val="00FF5F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D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customStyle="1" w:styleId="UnresolvedMention1">
    <w:name w:val="Unresolved Mention1"/>
    <w:basedOn w:val="DefaultParagraphFont"/>
    <w:uiPriority w:val="99"/>
    <w:semiHidden/>
    <w:unhideWhenUsed/>
    <w:rsid w:val="00644BA0"/>
    <w:rPr>
      <w:color w:val="605E5C"/>
      <w:shd w:val="clear" w:color="auto" w:fill="E1DFDD"/>
    </w:rPr>
  </w:style>
  <w:style w:type="paragraph" w:styleId="NormalWeb">
    <w:name w:val="Normal (Web)"/>
    <w:basedOn w:val="Normal"/>
    <w:uiPriority w:val="99"/>
    <w:semiHidden/>
    <w:unhideWhenUsed/>
    <w:rsid w:val="000B169B"/>
    <w:rPr>
      <w:rFonts w:cs="Times New Roman"/>
      <w:szCs w:val="24"/>
    </w:rPr>
  </w:style>
  <w:style w:type="paragraph" w:styleId="Revision">
    <w:name w:val="Revision"/>
    <w:hidden/>
    <w:uiPriority w:val="99"/>
    <w:semiHidden/>
    <w:rsid w:val="00105B96"/>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9C7E9F"/>
    <w:rPr>
      <w:color w:val="800080" w:themeColor="followedHyperlink"/>
      <w:u w:val="single"/>
    </w:rPr>
  </w:style>
  <w:style w:type="paragraph" w:styleId="NoSpacing">
    <w:name w:val="No Spacing"/>
    <w:uiPriority w:val="1"/>
    <w:qFormat/>
    <w:rsid w:val="004128F9"/>
    <w:pPr>
      <w:spacing w:after="0" w:line="240" w:lineRule="auto"/>
    </w:pPr>
    <w:rPr>
      <w:rFonts w:ascii="Times New Roman" w:hAnsi="Times New Roman"/>
      <w:sz w:val="24"/>
    </w:rPr>
  </w:style>
  <w:style w:type="character" w:customStyle="1" w:styleId="UnresolvedMention2">
    <w:name w:val="Unresolved Mention2"/>
    <w:basedOn w:val="DefaultParagraphFont"/>
    <w:uiPriority w:val="99"/>
    <w:semiHidden/>
    <w:unhideWhenUsed/>
    <w:rsid w:val="003D4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6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lis.virginia.gov/cgi-bin/legp604.exe?ses=201&amp;typ=bil&amp;val=SB1020" TargetMode="External"/><Relationship Id="rId18" Type="http://schemas.openxmlformats.org/officeDocument/2006/relationships/hyperlink" Target="https://law.lis.virginia.gov/vacode/title22.1/chapter14/section22.1-276.01/" TargetMode="External"/><Relationship Id="rId26" Type="http://schemas.openxmlformats.org/officeDocument/2006/relationships/hyperlink" Target="mailto:Rebecca.Kahila@doe.virginia.gov" TargetMode="External"/><Relationship Id="rId3" Type="http://schemas.openxmlformats.org/officeDocument/2006/relationships/styles" Target="styles.xml"/><Relationship Id="rId21" Type="http://schemas.openxmlformats.org/officeDocument/2006/relationships/hyperlink" Target="https://law.lis.virginia.gov/vacode/title22.1/chapter14/section22.1-279.6/" TargetMode="External"/><Relationship Id="rId7" Type="http://schemas.openxmlformats.org/officeDocument/2006/relationships/endnotes" Target="endnotes.xml"/><Relationship Id="rId12" Type="http://schemas.openxmlformats.org/officeDocument/2006/relationships/hyperlink" Target="https://law.lis.virginia.gov/vacode/title22.1/chapter14/section22.1-277.05/" TargetMode="External"/><Relationship Id="rId17" Type="http://schemas.openxmlformats.org/officeDocument/2006/relationships/hyperlink" Target="https://law.lis.virginia.gov/vacode/title22.1/chapter14/section22.1-279.6/" TargetMode="External"/><Relationship Id="rId25" Type="http://schemas.openxmlformats.org/officeDocument/2006/relationships/hyperlink" Target="https://law.lis.virginia.gov/vacode/22.1-279.3:1/" TargetMode="External"/><Relationship Id="rId2" Type="http://schemas.openxmlformats.org/officeDocument/2006/relationships/numbering" Target="numbering.xml"/><Relationship Id="rId16" Type="http://schemas.openxmlformats.org/officeDocument/2006/relationships/hyperlink" Target="https://law.lis.virginia.gov/vacode/title22.1/chapter14/section22.1-276.01/" TargetMode="External"/><Relationship Id="rId20" Type="http://schemas.openxmlformats.org/officeDocument/2006/relationships/hyperlink" Target="https://lis.virginia.gov/cgi-bin/legp604.exe?ses=201&amp;typ=bil&amp;val=HB8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14/section22.1-277.04/" TargetMode="External"/><Relationship Id="rId24" Type="http://schemas.openxmlformats.org/officeDocument/2006/relationships/hyperlink" Target="https://lis.virginia.gov/cgi-bin/legp604.exe?201+ful+CHAP0335" TargetMode="External"/><Relationship Id="rId5" Type="http://schemas.openxmlformats.org/officeDocument/2006/relationships/webSettings" Target="webSettings.xml"/><Relationship Id="rId15" Type="http://schemas.openxmlformats.org/officeDocument/2006/relationships/hyperlink" Target="https://lis.virginia.gov/cgi-bin/legp604.exe?ses=201&amp;typ=bil&amp;val=HB837" TargetMode="External"/><Relationship Id="rId23" Type="http://schemas.openxmlformats.org/officeDocument/2006/relationships/hyperlink" Target="https://law.lis.virginia.gov/vacode/18.2-415/" TargetMode="External"/><Relationship Id="rId28" Type="http://schemas.openxmlformats.org/officeDocument/2006/relationships/theme" Target="theme/theme1.xml"/><Relationship Id="rId10" Type="http://schemas.openxmlformats.org/officeDocument/2006/relationships/hyperlink" Target="https://lis.virginia.gov/cgi-bin/legp604.exe?ses=201&amp;typ=bil&amp;val=HB415" TargetMode="External"/><Relationship Id="rId19" Type="http://schemas.openxmlformats.org/officeDocument/2006/relationships/hyperlink" Target="https://law.lis.virginia.gov/vacode/title22.1/chapter14/section22.1-279.6/"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law.lis.virginia.gov/vacode/title22.1/chapter14/section22.1-279.3:1/" TargetMode="External"/><Relationship Id="rId22" Type="http://schemas.openxmlformats.org/officeDocument/2006/relationships/hyperlink" Target="https://lis.virginia.gov/cgi-bin/legp604.exe?201+ful+CHAP0199"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AEFF8-EA22-48C3-842E-5FB053A5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Superintendent's Memo 205-20</vt:lpstr>
    </vt:vector>
  </TitlesOfParts>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205-20</dc:title>
  <dc:creator/>
  <cp:lastModifiedBy/>
  <cp:revision>1</cp:revision>
  <dcterms:created xsi:type="dcterms:W3CDTF">2020-08-04T21:24:00Z</dcterms:created>
  <dcterms:modified xsi:type="dcterms:W3CDTF">2020-08-04T21:24:00Z</dcterms:modified>
</cp:coreProperties>
</file>