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08" w:rsidRPr="00765331" w:rsidRDefault="00104308" w:rsidP="00104308">
      <w:pPr>
        <w:pStyle w:val="Heading1"/>
        <w:jc w:val="right"/>
        <w:rPr>
          <w:b w:val="0"/>
          <w:szCs w:val="24"/>
        </w:rPr>
      </w:pPr>
      <w:r w:rsidRPr="00765331">
        <w:rPr>
          <w:b w:val="0"/>
          <w:szCs w:val="24"/>
        </w:rPr>
        <w:t>Superintendent’s Memo #</w:t>
      </w:r>
      <w:r w:rsidR="009C6EBF">
        <w:rPr>
          <w:b w:val="0"/>
          <w:szCs w:val="24"/>
        </w:rPr>
        <w:t>190</w:t>
      </w:r>
      <w:r w:rsidR="00951BA6">
        <w:rPr>
          <w:b w:val="0"/>
          <w:szCs w:val="24"/>
        </w:rPr>
        <w:t>-20</w:t>
      </w:r>
    </w:p>
    <w:p w:rsidR="00104308" w:rsidRDefault="00104308" w:rsidP="00104308">
      <w:pPr>
        <w:jc w:val="center"/>
        <w:rPr>
          <w:sz w:val="16"/>
          <w:szCs w:val="16"/>
        </w:rPr>
      </w:pPr>
      <w:r w:rsidRPr="00F670D9">
        <w:rPr>
          <w:noProof/>
          <w:szCs w:val="24"/>
        </w:rPr>
        <w:drawing>
          <wp:inline distT="0" distB="0" distL="0" distR="0" wp14:anchorId="568FD43D" wp14:editId="66CE1C99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D9">
        <w:rPr>
          <w:szCs w:val="24"/>
        </w:rPr>
        <w:br/>
      </w:r>
      <w:r w:rsidRPr="0044593F">
        <w:rPr>
          <w:rStyle w:val="Strong"/>
          <w:color w:val="000000"/>
          <w:szCs w:val="24"/>
        </w:rPr>
        <w:t>COMMONWEALTH of VIRGINIA</w:t>
      </w:r>
      <w:r w:rsidRPr="0044593F">
        <w:rPr>
          <w:b/>
          <w:bCs/>
          <w:color w:val="000000"/>
          <w:sz w:val="24"/>
          <w:szCs w:val="24"/>
        </w:rPr>
        <w:br/>
      </w:r>
      <w:r w:rsidRPr="0044593F">
        <w:rPr>
          <w:rStyle w:val="Strong"/>
          <w:color w:val="000000"/>
          <w:szCs w:val="24"/>
        </w:rPr>
        <w:t>Department of Education</w:t>
      </w:r>
      <w:r w:rsidRPr="00F670D9">
        <w:rPr>
          <w:rStyle w:val="Strong"/>
          <w:color w:val="000000"/>
          <w:szCs w:val="24"/>
        </w:rPr>
        <w:br/>
      </w:r>
    </w:p>
    <w:p w:rsidR="00104308" w:rsidRPr="00566DBB" w:rsidRDefault="00104308" w:rsidP="00104308">
      <w:pPr>
        <w:jc w:val="center"/>
        <w:rPr>
          <w:sz w:val="16"/>
          <w:szCs w:val="16"/>
        </w:rPr>
      </w:pPr>
    </w:p>
    <w:p w:rsidR="00104308" w:rsidRDefault="00104308" w:rsidP="00104308">
      <w:pPr>
        <w:tabs>
          <w:tab w:val="left" w:pos="1440"/>
        </w:tabs>
        <w:rPr>
          <w:sz w:val="24"/>
          <w:szCs w:val="24"/>
        </w:rPr>
      </w:pPr>
      <w:r w:rsidRPr="007C7856">
        <w:rPr>
          <w:sz w:val="24"/>
          <w:szCs w:val="24"/>
        </w:rPr>
        <w:t>DATE:</w:t>
      </w:r>
      <w:r w:rsidRPr="007C7856">
        <w:rPr>
          <w:sz w:val="24"/>
          <w:szCs w:val="24"/>
        </w:rPr>
        <w:tab/>
      </w:r>
      <w:r w:rsidR="004B0FC9" w:rsidRPr="004E1F64">
        <w:rPr>
          <w:sz w:val="24"/>
          <w:szCs w:val="24"/>
        </w:rPr>
        <w:t xml:space="preserve">July </w:t>
      </w:r>
      <w:r w:rsidR="004E1F64" w:rsidRPr="004E1F64">
        <w:rPr>
          <w:sz w:val="24"/>
          <w:szCs w:val="24"/>
        </w:rPr>
        <w:t>24</w:t>
      </w:r>
      <w:r w:rsidRPr="004E1F64">
        <w:rPr>
          <w:sz w:val="24"/>
          <w:szCs w:val="24"/>
        </w:rPr>
        <w:t>, 20</w:t>
      </w:r>
      <w:r w:rsidR="0013259B" w:rsidRPr="004E1F64">
        <w:rPr>
          <w:sz w:val="24"/>
          <w:szCs w:val="24"/>
        </w:rPr>
        <w:t>20</w:t>
      </w:r>
      <w:bookmarkStart w:id="0" w:name="_GoBack"/>
      <w:bookmarkEnd w:id="0"/>
    </w:p>
    <w:p w:rsidR="00104308" w:rsidRPr="00566DBB" w:rsidRDefault="00104308" w:rsidP="00104308">
      <w:pPr>
        <w:tabs>
          <w:tab w:val="left" w:pos="1800"/>
        </w:tabs>
        <w:rPr>
          <w:sz w:val="16"/>
          <w:szCs w:val="16"/>
        </w:rPr>
      </w:pPr>
    </w:p>
    <w:p w:rsidR="00104308" w:rsidRDefault="00104308" w:rsidP="00104308">
      <w:pPr>
        <w:tabs>
          <w:tab w:val="left" w:pos="1440"/>
        </w:tabs>
        <w:rPr>
          <w:sz w:val="24"/>
          <w:szCs w:val="24"/>
        </w:rPr>
      </w:pPr>
      <w:r w:rsidRPr="007C7856">
        <w:rPr>
          <w:sz w:val="24"/>
          <w:szCs w:val="24"/>
        </w:rPr>
        <w:t xml:space="preserve">TO: </w:t>
      </w:r>
      <w:r w:rsidRPr="007C7856">
        <w:rPr>
          <w:sz w:val="24"/>
          <w:szCs w:val="24"/>
        </w:rPr>
        <w:tab/>
        <w:t>Division Superintendents</w:t>
      </w:r>
    </w:p>
    <w:p w:rsidR="00104308" w:rsidRPr="00566DBB" w:rsidRDefault="00104308" w:rsidP="00104308">
      <w:pPr>
        <w:tabs>
          <w:tab w:val="left" w:pos="1800"/>
        </w:tabs>
        <w:rPr>
          <w:sz w:val="16"/>
          <w:szCs w:val="16"/>
        </w:rPr>
      </w:pPr>
    </w:p>
    <w:p w:rsidR="00104308" w:rsidRDefault="00104308" w:rsidP="00104308">
      <w:pPr>
        <w:tabs>
          <w:tab w:val="left" w:pos="1440"/>
        </w:tabs>
        <w:rPr>
          <w:sz w:val="24"/>
          <w:szCs w:val="24"/>
        </w:rPr>
      </w:pPr>
      <w:r w:rsidRPr="007C7856">
        <w:rPr>
          <w:sz w:val="24"/>
          <w:szCs w:val="24"/>
        </w:rPr>
        <w:t xml:space="preserve">FROM: </w:t>
      </w:r>
      <w:r w:rsidRPr="007C7856">
        <w:rPr>
          <w:sz w:val="24"/>
          <w:szCs w:val="24"/>
        </w:rPr>
        <w:tab/>
      </w:r>
      <w:r w:rsidRPr="007C7856">
        <w:rPr>
          <w:color w:val="000000"/>
          <w:sz w:val="24"/>
          <w:szCs w:val="24"/>
        </w:rPr>
        <w:t>James F. Lane</w:t>
      </w:r>
      <w:r w:rsidRPr="007C7856">
        <w:rPr>
          <w:sz w:val="24"/>
          <w:szCs w:val="24"/>
        </w:rPr>
        <w:t xml:space="preserve">, </w:t>
      </w:r>
      <w:proofErr w:type="gramStart"/>
      <w:r w:rsidRPr="007C7856">
        <w:rPr>
          <w:color w:val="000000"/>
          <w:sz w:val="24"/>
          <w:szCs w:val="24"/>
        </w:rPr>
        <w:t>Ed.D</w:t>
      </w:r>
      <w:r>
        <w:rPr>
          <w:color w:val="000000"/>
          <w:sz w:val="24"/>
          <w:szCs w:val="24"/>
        </w:rPr>
        <w:t>.,</w:t>
      </w:r>
      <w:proofErr w:type="gramEnd"/>
      <w:r>
        <w:rPr>
          <w:color w:val="000000"/>
          <w:sz w:val="24"/>
          <w:szCs w:val="24"/>
        </w:rPr>
        <w:t xml:space="preserve"> </w:t>
      </w:r>
      <w:r w:rsidRPr="007C7856">
        <w:rPr>
          <w:sz w:val="24"/>
          <w:szCs w:val="24"/>
        </w:rPr>
        <w:t>Superintendent of Public Instruction</w:t>
      </w:r>
    </w:p>
    <w:p w:rsidR="00104308" w:rsidRPr="004E1F64" w:rsidRDefault="00104308" w:rsidP="004E1F64"/>
    <w:p w:rsidR="00D34814" w:rsidRPr="00C018E8" w:rsidRDefault="005032A9" w:rsidP="008C75CC">
      <w:pPr>
        <w:pStyle w:val="Heading1"/>
        <w:rPr>
          <w:szCs w:val="24"/>
        </w:rPr>
      </w:pPr>
      <w:r w:rsidRPr="0069798F">
        <w:t>SUBJECT:</w:t>
      </w:r>
      <w:r w:rsidRPr="0069798F">
        <w:tab/>
      </w:r>
      <w:r w:rsidR="0003701D">
        <w:rPr>
          <w:szCs w:val="24"/>
        </w:rPr>
        <w:t xml:space="preserve">Career and Technical Education Civil Rights </w:t>
      </w:r>
      <w:r w:rsidR="008C75CC" w:rsidRPr="00C018E8">
        <w:rPr>
          <w:szCs w:val="24"/>
        </w:rPr>
        <w:t>Annual Notice</w:t>
      </w:r>
    </w:p>
    <w:p w:rsidR="008C75CC" w:rsidRPr="00C018E8" w:rsidRDefault="008C75CC" w:rsidP="008C75CC"/>
    <w:p w:rsidR="00065C16" w:rsidRPr="00C018E8" w:rsidRDefault="00065C16" w:rsidP="00065C16">
      <w:pPr>
        <w:rPr>
          <w:sz w:val="24"/>
          <w:szCs w:val="24"/>
        </w:rPr>
      </w:pPr>
      <w:r w:rsidRPr="00227187">
        <w:rPr>
          <w:sz w:val="24"/>
          <w:szCs w:val="24"/>
        </w:rPr>
        <w:t xml:space="preserve">The </w:t>
      </w:r>
      <w:r w:rsidR="00227187" w:rsidRPr="00227187">
        <w:rPr>
          <w:sz w:val="24"/>
          <w:szCs w:val="24"/>
        </w:rPr>
        <w:t>federal</w:t>
      </w:r>
      <w:r w:rsidR="00227DC9">
        <w:rPr>
          <w:sz w:val="24"/>
          <w:szCs w:val="24"/>
        </w:rPr>
        <w:t xml:space="preserve"> </w:t>
      </w:r>
      <w:r w:rsidR="00227DC9" w:rsidRPr="00227DC9">
        <w:rPr>
          <w:i/>
          <w:sz w:val="24"/>
          <w:szCs w:val="24"/>
        </w:rPr>
        <w:t>G</w:t>
      </w:r>
      <w:r w:rsidR="00227187" w:rsidRPr="00227DC9">
        <w:rPr>
          <w:i/>
          <w:sz w:val="24"/>
          <w:szCs w:val="24"/>
        </w:rPr>
        <w:t xml:space="preserve">uidelines </w:t>
      </w:r>
      <w:r w:rsidR="00227187" w:rsidRPr="00227187">
        <w:rPr>
          <w:sz w:val="24"/>
          <w:szCs w:val="24"/>
        </w:rPr>
        <w:t>for eliminating discrimination and denial of s</w:t>
      </w:r>
      <w:r w:rsidR="00227187">
        <w:rPr>
          <w:sz w:val="24"/>
          <w:szCs w:val="24"/>
        </w:rPr>
        <w:t>ervices on the b</w:t>
      </w:r>
      <w:r w:rsidR="00227187" w:rsidRPr="00227187">
        <w:rPr>
          <w:sz w:val="24"/>
          <w:szCs w:val="24"/>
        </w:rPr>
        <w:t>a</w:t>
      </w:r>
      <w:r w:rsidR="008A6D81" w:rsidRPr="00227187">
        <w:rPr>
          <w:sz w:val="24"/>
          <w:szCs w:val="24"/>
        </w:rPr>
        <w:t>sis o</w:t>
      </w:r>
      <w:r w:rsidR="00684B28" w:rsidRPr="00227187">
        <w:rPr>
          <w:sz w:val="24"/>
          <w:szCs w:val="24"/>
        </w:rPr>
        <w:t>f</w:t>
      </w:r>
      <w:r w:rsidR="00227187" w:rsidRPr="00227187">
        <w:rPr>
          <w:sz w:val="24"/>
          <w:szCs w:val="24"/>
        </w:rPr>
        <w:t xml:space="preserve"> race, color, n</w:t>
      </w:r>
      <w:r w:rsidR="008A6D81" w:rsidRPr="00227187">
        <w:rPr>
          <w:sz w:val="24"/>
          <w:szCs w:val="24"/>
        </w:rPr>
        <w:t>at</w:t>
      </w:r>
      <w:r w:rsidR="00227187" w:rsidRPr="00227187">
        <w:rPr>
          <w:sz w:val="24"/>
          <w:szCs w:val="24"/>
        </w:rPr>
        <w:t>ional origin, s</w:t>
      </w:r>
      <w:r w:rsidR="00684B28" w:rsidRPr="00227187">
        <w:rPr>
          <w:sz w:val="24"/>
          <w:szCs w:val="24"/>
        </w:rPr>
        <w:t>ex</w:t>
      </w:r>
      <w:r w:rsidR="008A6D81" w:rsidRPr="00227187">
        <w:rPr>
          <w:sz w:val="24"/>
          <w:szCs w:val="24"/>
        </w:rPr>
        <w:t xml:space="preserve"> and </w:t>
      </w:r>
      <w:r w:rsidR="00227187" w:rsidRPr="00227187">
        <w:rPr>
          <w:sz w:val="24"/>
          <w:szCs w:val="24"/>
        </w:rPr>
        <w:t>h</w:t>
      </w:r>
      <w:r w:rsidR="008A6D81" w:rsidRPr="00227187">
        <w:rPr>
          <w:sz w:val="24"/>
          <w:szCs w:val="24"/>
        </w:rPr>
        <w:t>andicap</w:t>
      </w:r>
      <w:r w:rsidR="00227187" w:rsidRPr="00227187">
        <w:rPr>
          <w:sz w:val="24"/>
          <w:szCs w:val="24"/>
        </w:rPr>
        <w:t xml:space="preserve"> in Career and Technical Education programs </w:t>
      </w:r>
      <w:r w:rsidR="006D0AF7">
        <w:rPr>
          <w:sz w:val="24"/>
          <w:szCs w:val="24"/>
        </w:rPr>
        <w:t>are</w:t>
      </w:r>
      <w:r w:rsidR="00227187" w:rsidRPr="00227187">
        <w:rPr>
          <w:sz w:val="24"/>
          <w:szCs w:val="24"/>
        </w:rPr>
        <w:t xml:space="preserve"> promulgated </w:t>
      </w:r>
      <w:r w:rsidR="00227187">
        <w:rPr>
          <w:sz w:val="24"/>
          <w:szCs w:val="24"/>
        </w:rPr>
        <w:t xml:space="preserve">under Title VI of the Civil Rights Act of </w:t>
      </w:r>
      <w:r w:rsidR="00227187" w:rsidRPr="00227187">
        <w:rPr>
          <w:sz w:val="24"/>
          <w:szCs w:val="24"/>
        </w:rPr>
        <w:t>1964</w:t>
      </w:r>
      <w:r w:rsidR="00227187">
        <w:rPr>
          <w:sz w:val="24"/>
          <w:szCs w:val="24"/>
        </w:rPr>
        <w:t xml:space="preserve">, </w:t>
      </w:r>
      <w:r w:rsidRPr="00227187">
        <w:rPr>
          <w:sz w:val="24"/>
          <w:szCs w:val="24"/>
        </w:rPr>
        <w:t>34 C.F.R. Part 100, Appendix B</w:t>
      </w:r>
      <w:r w:rsidR="008A6D81" w:rsidRPr="00227187">
        <w:rPr>
          <w:sz w:val="24"/>
          <w:szCs w:val="24"/>
        </w:rPr>
        <w:t>, also referred to as</w:t>
      </w:r>
      <w:r w:rsidR="006D6BEB">
        <w:rPr>
          <w:sz w:val="24"/>
          <w:szCs w:val="24"/>
        </w:rPr>
        <w:t xml:space="preserve"> the</w:t>
      </w:r>
      <w:r w:rsidR="008A6D81" w:rsidRPr="00227187">
        <w:rPr>
          <w:sz w:val="24"/>
          <w:szCs w:val="24"/>
        </w:rPr>
        <w:t xml:space="preserve"> “</w:t>
      </w:r>
      <w:hyperlink r:id="rId7" w:history="1">
        <w:r w:rsidR="006D6BEB" w:rsidRPr="009C6EBF">
          <w:rPr>
            <w:rStyle w:val="Hyperlink"/>
            <w:i/>
            <w:sz w:val="24"/>
            <w:szCs w:val="24"/>
          </w:rPr>
          <w:t>Guidelines</w:t>
        </w:r>
      </w:hyperlink>
      <w:r w:rsidR="006D6BEB">
        <w:rPr>
          <w:sz w:val="24"/>
          <w:szCs w:val="24"/>
        </w:rPr>
        <w:t>.</w:t>
      </w:r>
      <w:r w:rsidR="00A46CBF" w:rsidRPr="00227187">
        <w:rPr>
          <w:sz w:val="24"/>
          <w:szCs w:val="24"/>
        </w:rPr>
        <w:t>”</w:t>
      </w:r>
      <w:r w:rsidR="006D6BEB">
        <w:rPr>
          <w:sz w:val="24"/>
          <w:szCs w:val="24"/>
        </w:rPr>
        <w:t xml:space="preserve"> These </w:t>
      </w:r>
      <w:r w:rsidR="00227DC9">
        <w:rPr>
          <w:i/>
          <w:sz w:val="24"/>
          <w:szCs w:val="24"/>
        </w:rPr>
        <w:t>G</w:t>
      </w:r>
      <w:r w:rsidR="006D6BEB" w:rsidRPr="00227DC9">
        <w:rPr>
          <w:i/>
          <w:sz w:val="24"/>
          <w:szCs w:val="24"/>
        </w:rPr>
        <w:t>uidelines</w:t>
      </w:r>
      <w:r w:rsidR="006D6BEB">
        <w:rPr>
          <w:sz w:val="24"/>
          <w:szCs w:val="24"/>
        </w:rPr>
        <w:t xml:space="preserve"> </w:t>
      </w:r>
      <w:r w:rsidR="00A46CBF" w:rsidRPr="00227187">
        <w:rPr>
          <w:sz w:val="24"/>
          <w:szCs w:val="24"/>
        </w:rPr>
        <w:t>require</w:t>
      </w:r>
      <w:r w:rsidR="00C60DA4" w:rsidRPr="00227187">
        <w:rPr>
          <w:sz w:val="24"/>
          <w:szCs w:val="24"/>
        </w:rPr>
        <w:t xml:space="preserve"> states to conduct</w:t>
      </w:r>
      <w:r w:rsidR="00C60DA4" w:rsidRPr="00C018E8">
        <w:rPr>
          <w:sz w:val="24"/>
          <w:szCs w:val="24"/>
        </w:rPr>
        <w:t xml:space="preserve"> CTE Civil Rights reviews to determine if scho</w:t>
      </w:r>
      <w:r w:rsidRPr="00C018E8">
        <w:rPr>
          <w:sz w:val="24"/>
          <w:szCs w:val="24"/>
        </w:rPr>
        <w:t xml:space="preserve">ol divisions </w:t>
      </w:r>
      <w:r w:rsidR="00684B28" w:rsidRPr="00C018E8">
        <w:rPr>
          <w:sz w:val="24"/>
          <w:szCs w:val="24"/>
        </w:rPr>
        <w:t xml:space="preserve">that </w:t>
      </w:r>
      <w:r w:rsidR="009A74EB" w:rsidRPr="00C018E8">
        <w:rPr>
          <w:sz w:val="24"/>
          <w:szCs w:val="24"/>
        </w:rPr>
        <w:t>offer C</w:t>
      </w:r>
      <w:r w:rsidR="00C60DA4" w:rsidRPr="00C018E8">
        <w:rPr>
          <w:sz w:val="24"/>
          <w:szCs w:val="24"/>
        </w:rPr>
        <w:t xml:space="preserve">areer and Technical </w:t>
      </w:r>
      <w:r w:rsidR="00A46CBF" w:rsidRPr="00C018E8">
        <w:rPr>
          <w:sz w:val="24"/>
          <w:szCs w:val="24"/>
        </w:rPr>
        <w:t>Education (C</w:t>
      </w:r>
      <w:r w:rsidR="009A74EB" w:rsidRPr="00C018E8">
        <w:rPr>
          <w:sz w:val="24"/>
          <w:szCs w:val="24"/>
        </w:rPr>
        <w:t>TE</w:t>
      </w:r>
      <w:r w:rsidR="00A46CBF" w:rsidRPr="00C018E8">
        <w:rPr>
          <w:sz w:val="24"/>
          <w:szCs w:val="24"/>
        </w:rPr>
        <w:t>)</w:t>
      </w:r>
      <w:r w:rsidR="009A74EB" w:rsidRPr="00C018E8">
        <w:rPr>
          <w:sz w:val="24"/>
          <w:szCs w:val="24"/>
        </w:rPr>
        <w:t xml:space="preserve"> programs and </w:t>
      </w:r>
      <w:r w:rsidR="00684B28" w:rsidRPr="00C018E8">
        <w:rPr>
          <w:sz w:val="24"/>
          <w:szCs w:val="24"/>
        </w:rPr>
        <w:t xml:space="preserve">receive federal financial assistance </w:t>
      </w:r>
      <w:r w:rsidR="00C60DA4" w:rsidRPr="00C018E8">
        <w:rPr>
          <w:sz w:val="24"/>
          <w:szCs w:val="24"/>
        </w:rPr>
        <w:t>a</w:t>
      </w:r>
      <w:r w:rsidR="00684B28" w:rsidRPr="00C018E8">
        <w:rPr>
          <w:sz w:val="24"/>
          <w:szCs w:val="24"/>
        </w:rPr>
        <w:t>re meeting the requirement</w:t>
      </w:r>
      <w:r w:rsidR="008C75CC" w:rsidRPr="00C018E8">
        <w:rPr>
          <w:sz w:val="24"/>
          <w:szCs w:val="24"/>
        </w:rPr>
        <w:t>s</w:t>
      </w:r>
      <w:r w:rsidR="00684B28" w:rsidRPr="00C018E8">
        <w:rPr>
          <w:sz w:val="24"/>
          <w:szCs w:val="24"/>
        </w:rPr>
        <w:t xml:space="preserve"> of the following c</w:t>
      </w:r>
      <w:r w:rsidRPr="00C018E8">
        <w:rPr>
          <w:sz w:val="24"/>
          <w:szCs w:val="24"/>
        </w:rPr>
        <w:t>ivil rights laws</w:t>
      </w:r>
      <w:r w:rsidR="00684B28" w:rsidRPr="00C018E8">
        <w:rPr>
          <w:sz w:val="24"/>
          <w:szCs w:val="24"/>
        </w:rPr>
        <w:t xml:space="preserve"> and regulation</w:t>
      </w:r>
      <w:r w:rsidRPr="00C018E8">
        <w:rPr>
          <w:sz w:val="24"/>
          <w:szCs w:val="24"/>
        </w:rPr>
        <w:t>:</w:t>
      </w:r>
    </w:p>
    <w:p w:rsidR="00065C16" w:rsidRPr="00565DCF" w:rsidRDefault="00065C16" w:rsidP="00065C16">
      <w:pPr>
        <w:rPr>
          <w:sz w:val="24"/>
          <w:szCs w:val="24"/>
        </w:rPr>
      </w:pPr>
    </w:p>
    <w:p w:rsidR="00065C16" w:rsidRPr="00063E5B" w:rsidRDefault="00065C16" w:rsidP="00065C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3E5B">
        <w:rPr>
          <w:i/>
          <w:sz w:val="24"/>
          <w:szCs w:val="24"/>
        </w:rPr>
        <w:t xml:space="preserve">Title VI of the Civil Rights Act of 1964 </w:t>
      </w:r>
      <w:r w:rsidRPr="007B1308">
        <w:rPr>
          <w:sz w:val="24"/>
          <w:szCs w:val="24"/>
        </w:rPr>
        <w:t>(</w:t>
      </w:r>
      <w:r w:rsidRPr="00063E5B">
        <w:rPr>
          <w:sz w:val="24"/>
          <w:szCs w:val="24"/>
        </w:rPr>
        <w:t>prohibiting discrimination based on race, color, and national origin) 34 CFR Part 100</w:t>
      </w:r>
    </w:p>
    <w:p w:rsidR="00065C16" w:rsidRPr="00063E5B" w:rsidRDefault="00065C16" w:rsidP="00065C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3E5B">
        <w:rPr>
          <w:i/>
          <w:sz w:val="24"/>
          <w:szCs w:val="24"/>
        </w:rPr>
        <w:t xml:space="preserve">Title IX of the Education Amendments of 1972 </w:t>
      </w:r>
      <w:r w:rsidRPr="00063E5B">
        <w:rPr>
          <w:sz w:val="24"/>
          <w:szCs w:val="24"/>
        </w:rPr>
        <w:t>(prohibiting discrimination based on sex) 34 CFR Part 106</w:t>
      </w:r>
    </w:p>
    <w:p w:rsidR="00065C16" w:rsidRPr="00063E5B" w:rsidRDefault="00065C16" w:rsidP="00065C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3E5B">
        <w:rPr>
          <w:i/>
          <w:sz w:val="24"/>
          <w:szCs w:val="24"/>
        </w:rPr>
        <w:t xml:space="preserve">Section 504 of the Rehabilitation Act of 1973 </w:t>
      </w:r>
      <w:r w:rsidRPr="00063E5B">
        <w:rPr>
          <w:sz w:val="24"/>
          <w:szCs w:val="24"/>
        </w:rPr>
        <w:t>(prohibiting discrimination based on disability) 34 CFR Part 104</w:t>
      </w:r>
    </w:p>
    <w:p w:rsidR="00065C16" w:rsidRDefault="00065C16" w:rsidP="00065C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3E5B">
        <w:rPr>
          <w:i/>
          <w:sz w:val="24"/>
          <w:szCs w:val="24"/>
        </w:rPr>
        <w:t xml:space="preserve">Title II of the Americans with Disabilities Act of 1990 </w:t>
      </w:r>
      <w:r w:rsidRPr="00063E5B">
        <w:rPr>
          <w:sz w:val="24"/>
          <w:szCs w:val="24"/>
        </w:rPr>
        <w:t>(prohibiting discrimination based on disability) 28 CFR Part 35</w:t>
      </w:r>
    </w:p>
    <w:p w:rsidR="00684B28" w:rsidRPr="00227DC9" w:rsidRDefault="00684B28" w:rsidP="00711A6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018E8">
        <w:rPr>
          <w:i/>
          <w:sz w:val="24"/>
          <w:szCs w:val="24"/>
        </w:rPr>
        <w:t xml:space="preserve">U.S. Department of Education Title IX Final </w:t>
      </w:r>
      <w:r w:rsidRPr="00227DC9">
        <w:rPr>
          <w:sz w:val="24"/>
          <w:szCs w:val="24"/>
        </w:rPr>
        <w:t>Rule (</w:t>
      </w:r>
      <w:r w:rsidR="00711A6D" w:rsidRPr="00227DC9">
        <w:rPr>
          <w:sz w:val="24"/>
          <w:szCs w:val="24"/>
        </w:rPr>
        <w:t>carries the force and effect of law as of August 14, 2020)</w:t>
      </w:r>
    </w:p>
    <w:p w:rsidR="00065C16" w:rsidRPr="00565DCF" w:rsidRDefault="00065C16" w:rsidP="00065C16">
      <w:pPr>
        <w:pStyle w:val="ListParagraph"/>
        <w:rPr>
          <w:sz w:val="24"/>
          <w:szCs w:val="24"/>
        </w:rPr>
      </w:pPr>
    </w:p>
    <w:p w:rsidR="001126C1" w:rsidRPr="00E07BFF" w:rsidRDefault="00065C16" w:rsidP="001126C1">
      <w:pPr>
        <w:rPr>
          <w:sz w:val="24"/>
          <w:szCs w:val="24"/>
          <w:vertAlign w:val="superscript"/>
        </w:rPr>
      </w:pPr>
      <w:r w:rsidRPr="00565DCF">
        <w:rPr>
          <w:sz w:val="24"/>
          <w:szCs w:val="24"/>
        </w:rPr>
        <w:t xml:space="preserve">School administrators are </w:t>
      </w:r>
      <w:r>
        <w:rPr>
          <w:sz w:val="24"/>
          <w:szCs w:val="24"/>
        </w:rPr>
        <w:t xml:space="preserve">highly </w:t>
      </w:r>
      <w:r w:rsidR="006D6BEB">
        <w:rPr>
          <w:sz w:val="24"/>
          <w:szCs w:val="24"/>
        </w:rPr>
        <w:t>encouraged</w:t>
      </w:r>
      <w:r w:rsidRPr="00565DCF">
        <w:rPr>
          <w:sz w:val="24"/>
          <w:szCs w:val="24"/>
        </w:rPr>
        <w:t xml:space="preserve"> to review the </w:t>
      </w:r>
      <w:r w:rsidRPr="00063E5B">
        <w:rPr>
          <w:i/>
          <w:sz w:val="24"/>
          <w:szCs w:val="24"/>
        </w:rPr>
        <w:t>Guidelines</w:t>
      </w:r>
      <w:r w:rsidRPr="0083743E">
        <w:rPr>
          <w:sz w:val="24"/>
          <w:szCs w:val="24"/>
        </w:rPr>
        <w:t>,</w:t>
      </w:r>
      <w:r w:rsidRPr="0083743E">
        <w:t xml:space="preserve"> </w:t>
      </w:r>
      <w:hyperlink r:id="rId8" w:history="1">
        <w:r w:rsidR="007B1308">
          <w:rPr>
            <w:rStyle w:val="Hyperlink"/>
            <w:sz w:val="24"/>
            <w:szCs w:val="24"/>
          </w:rPr>
          <w:t xml:space="preserve">CTE Civil Rights </w:t>
        </w:r>
        <w:r w:rsidR="00E3150A">
          <w:rPr>
            <w:rStyle w:val="Hyperlink"/>
            <w:sz w:val="24"/>
            <w:szCs w:val="24"/>
          </w:rPr>
          <w:t>C</w:t>
        </w:r>
        <w:r w:rsidRPr="00C31F8D">
          <w:rPr>
            <w:rStyle w:val="Hyperlink"/>
            <w:sz w:val="24"/>
            <w:szCs w:val="24"/>
          </w:rPr>
          <w:t>hecklist</w:t>
        </w:r>
      </w:hyperlink>
      <w:r w:rsidRPr="0083743E">
        <w:rPr>
          <w:sz w:val="24"/>
          <w:szCs w:val="24"/>
        </w:rPr>
        <w:t xml:space="preserve">, </w:t>
      </w:r>
      <w:hyperlink r:id="rId9" w:history="1">
        <w:r w:rsidR="007B1308">
          <w:rPr>
            <w:rStyle w:val="Hyperlink"/>
            <w:sz w:val="24"/>
            <w:szCs w:val="24"/>
          </w:rPr>
          <w:t>Six-Y</w:t>
        </w:r>
        <w:r w:rsidRPr="0083743E">
          <w:rPr>
            <w:rStyle w:val="Hyperlink"/>
            <w:sz w:val="24"/>
            <w:szCs w:val="24"/>
          </w:rPr>
          <w:t xml:space="preserve">ear </w:t>
        </w:r>
        <w:r w:rsidR="007B1308">
          <w:rPr>
            <w:rStyle w:val="Hyperlink"/>
            <w:sz w:val="24"/>
            <w:szCs w:val="24"/>
          </w:rPr>
          <w:t>Cyclical S</w:t>
        </w:r>
        <w:r w:rsidRPr="0083743E">
          <w:rPr>
            <w:rStyle w:val="Hyperlink"/>
            <w:sz w:val="24"/>
            <w:szCs w:val="24"/>
          </w:rPr>
          <w:t>chedule</w:t>
        </w:r>
      </w:hyperlink>
      <w:r w:rsidRPr="0083743E">
        <w:rPr>
          <w:sz w:val="24"/>
          <w:szCs w:val="24"/>
        </w:rPr>
        <w:t>, and other related information to become familiar with the CTE civil rights review process</w:t>
      </w:r>
      <w:r w:rsidRPr="00E07BFF">
        <w:rPr>
          <w:sz w:val="24"/>
          <w:szCs w:val="24"/>
        </w:rPr>
        <w:t xml:space="preserve">. </w:t>
      </w:r>
      <w:r w:rsidR="001126C1" w:rsidRPr="00E07BFF">
        <w:rPr>
          <w:sz w:val="24"/>
          <w:szCs w:val="24"/>
        </w:rPr>
        <w:t xml:space="preserve"> In response to COVID-19, for the 2020-2021 school year, </w:t>
      </w:r>
      <w:r w:rsidR="00C018E8" w:rsidRPr="00E07BFF">
        <w:rPr>
          <w:sz w:val="24"/>
          <w:szCs w:val="24"/>
        </w:rPr>
        <w:t xml:space="preserve">the </w:t>
      </w:r>
      <w:r w:rsidR="001126C1" w:rsidRPr="00E07BFF">
        <w:rPr>
          <w:sz w:val="24"/>
          <w:szCs w:val="24"/>
        </w:rPr>
        <w:t xml:space="preserve">on-site </w:t>
      </w:r>
      <w:r w:rsidR="006D6BEB">
        <w:rPr>
          <w:sz w:val="24"/>
          <w:szCs w:val="24"/>
        </w:rPr>
        <w:t xml:space="preserve">monitoring </w:t>
      </w:r>
      <w:r w:rsidR="001126C1" w:rsidRPr="00E07BFF">
        <w:rPr>
          <w:sz w:val="24"/>
          <w:szCs w:val="24"/>
        </w:rPr>
        <w:t>visit</w:t>
      </w:r>
      <w:r w:rsidR="00C018E8" w:rsidRPr="00E07BFF">
        <w:rPr>
          <w:sz w:val="24"/>
          <w:szCs w:val="24"/>
        </w:rPr>
        <w:t xml:space="preserve"> component of the review process may be conducted in a virtual format</w:t>
      </w:r>
      <w:r w:rsidR="00A46CBF" w:rsidRPr="00E07BFF">
        <w:rPr>
          <w:sz w:val="24"/>
          <w:szCs w:val="24"/>
        </w:rPr>
        <w:t>.</w:t>
      </w:r>
    </w:p>
    <w:p w:rsidR="00065C16" w:rsidRPr="00E07BFF" w:rsidRDefault="00065C16" w:rsidP="00065C16">
      <w:pPr>
        <w:rPr>
          <w:sz w:val="24"/>
          <w:szCs w:val="24"/>
        </w:rPr>
      </w:pPr>
    </w:p>
    <w:p w:rsidR="00104308" w:rsidRDefault="00104308" w:rsidP="00104308">
      <w:pPr>
        <w:rPr>
          <w:sz w:val="24"/>
          <w:szCs w:val="24"/>
        </w:rPr>
      </w:pPr>
      <w:r w:rsidRPr="00E07BFF">
        <w:rPr>
          <w:sz w:val="24"/>
          <w:szCs w:val="24"/>
        </w:rPr>
        <w:t xml:space="preserve">If you </w:t>
      </w:r>
      <w:r w:rsidR="00DD7A20" w:rsidRPr="00E07BFF">
        <w:rPr>
          <w:sz w:val="24"/>
          <w:szCs w:val="24"/>
        </w:rPr>
        <w:t xml:space="preserve">have </w:t>
      </w:r>
      <w:r w:rsidRPr="00E07BFF">
        <w:rPr>
          <w:sz w:val="24"/>
          <w:szCs w:val="24"/>
        </w:rPr>
        <w:t xml:space="preserve">any questions, please contact </w:t>
      </w:r>
      <w:r w:rsidR="009E79D6" w:rsidRPr="00E07BFF">
        <w:rPr>
          <w:sz w:val="24"/>
          <w:szCs w:val="24"/>
        </w:rPr>
        <w:t>William Hatch</w:t>
      </w:r>
      <w:r w:rsidRPr="00E07BFF">
        <w:rPr>
          <w:sz w:val="24"/>
          <w:szCs w:val="24"/>
        </w:rPr>
        <w:t xml:space="preserve">, CTE Planning, Administration, and Accountability </w:t>
      </w:r>
      <w:r w:rsidR="009E79D6" w:rsidRPr="00E07BFF">
        <w:rPr>
          <w:sz w:val="24"/>
          <w:szCs w:val="24"/>
        </w:rPr>
        <w:t>Coordinator</w:t>
      </w:r>
      <w:r w:rsidRPr="00E07BFF">
        <w:rPr>
          <w:sz w:val="24"/>
          <w:szCs w:val="24"/>
        </w:rPr>
        <w:t>, Office of Career, Technical, and Adult Education at</w:t>
      </w:r>
      <w:r w:rsidRPr="007C5674">
        <w:rPr>
          <w:sz w:val="24"/>
          <w:szCs w:val="24"/>
        </w:rPr>
        <w:t xml:space="preserve"> </w:t>
      </w:r>
      <w:hyperlink r:id="rId10" w:history="1">
        <w:r w:rsidRPr="007C5674">
          <w:rPr>
            <w:color w:val="0000FF"/>
            <w:sz w:val="24"/>
            <w:szCs w:val="24"/>
            <w:u w:val="single"/>
          </w:rPr>
          <w:t>cte@doe.virginia.gov</w:t>
        </w:r>
      </w:hyperlink>
      <w:r w:rsidRPr="007C5674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by telephone at </w:t>
      </w:r>
      <w:r w:rsidR="008E4DC8">
        <w:rPr>
          <w:sz w:val="24"/>
          <w:szCs w:val="24"/>
        </w:rPr>
        <w:t>(804) 786-4206</w:t>
      </w:r>
      <w:r w:rsidRPr="007C5674">
        <w:rPr>
          <w:sz w:val="24"/>
          <w:szCs w:val="24"/>
        </w:rPr>
        <w:t>.</w:t>
      </w:r>
    </w:p>
    <w:p w:rsidR="006E7A93" w:rsidRPr="007C5674" w:rsidRDefault="006E7A93" w:rsidP="006E7A93">
      <w:pPr>
        <w:rPr>
          <w:sz w:val="24"/>
          <w:szCs w:val="24"/>
        </w:rPr>
      </w:pPr>
    </w:p>
    <w:p w:rsidR="00D10C51" w:rsidRPr="000164AC" w:rsidRDefault="0060296E" w:rsidP="00711A6D">
      <w:pPr>
        <w:pStyle w:val="PlainText"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JFL</w:t>
      </w:r>
      <w:r w:rsidR="00D10C51" w:rsidRPr="000164AC">
        <w:rPr>
          <w:rFonts w:ascii="Times New Roman" w:hAnsi="Times New Roman" w:cs="Times New Roman"/>
          <w:sz w:val="24"/>
          <w:szCs w:val="24"/>
        </w:rPr>
        <w:t>/</w:t>
      </w:r>
      <w:r w:rsidR="00944A48">
        <w:rPr>
          <w:rFonts w:ascii="Times New Roman" w:hAnsi="Times New Roman" w:cs="Times New Roman"/>
          <w:sz w:val="24"/>
          <w:szCs w:val="24"/>
        </w:rPr>
        <w:t>GRW</w:t>
      </w:r>
      <w:r w:rsidR="002B1292" w:rsidRPr="000164AC">
        <w:rPr>
          <w:rFonts w:ascii="Times New Roman" w:hAnsi="Times New Roman" w:cs="Times New Roman"/>
          <w:sz w:val="24"/>
          <w:szCs w:val="24"/>
        </w:rPr>
        <w:t>/</w:t>
      </w:r>
      <w:r w:rsidR="006E7A93">
        <w:rPr>
          <w:rFonts w:ascii="Times New Roman" w:hAnsi="Times New Roman" w:cs="Times New Roman"/>
          <w:sz w:val="24"/>
          <w:szCs w:val="24"/>
        </w:rPr>
        <w:t>jts</w:t>
      </w:r>
    </w:p>
    <w:sectPr w:rsidR="00D10C51" w:rsidRPr="000164AC" w:rsidSect="008805E1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5AB"/>
    <w:multiLevelType w:val="singleLevel"/>
    <w:tmpl w:val="412E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7DE2C60"/>
    <w:multiLevelType w:val="hybridMultilevel"/>
    <w:tmpl w:val="29C03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205A"/>
    <w:multiLevelType w:val="multilevel"/>
    <w:tmpl w:val="7A5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34F4F"/>
    <w:multiLevelType w:val="hybridMultilevel"/>
    <w:tmpl w:val="8E9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83957"/>
    <w:multiLevelType w:val="hybridMultilevel"/>
    <w:tmpl w:val="FE2C9B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0A"/>
    <w:rsid w:val="0000550A"/>
    <w:rsid w:val="0001021E"/>
    <w:rsid w:val="000164AC"/>
    <w:rsid w:val="0003701D"/>
    <w:rsid w:val="00065C16"/>
    <w:rsid w:val="00094113"/>
    <w:rsid w:val="000A33AB"/>
    <w:rsid w:val="000A694F"/>
    <w:rsid w:val="000B2579"/>
    <w:rsid w:val="000D7E56"/>
    <w:rsid w:val="00104308"/>
    <w:rsid w:val="001126C1"/>
    <w:rsid w:val="0013259B"/>
    <w:rsid w:val="001D3C32"/>
    <w:rsid w:val="00225B2A"/>
    <w:rsid w:val="00227187"/>
    <w:rsid w:val="00227DC9"/>
    <w:rsid w:val="002433C5"/>
    <w:rsid w:val="002B1292"/>
    <w:rsid w:val="002C1C42"/>
    <w:rsid w:val="002F74CC"/>
    <w:rsid w:val="0031271A"/>
    <w:rsid w:val="00326BE3"/>
    <w:rsid w:val="00340924"/>
    <w:rsid w:val="0034597D"/>
    <w:rsid w:val="003822AC"/>
    <w:rsid w:val="003C01EA"/>
    <w:rsid w:val="00436B40"/>
    <w:rsid w:val="004579EE"/>
    <w:rsid w:val="00463020"/>
    <w:rsid w:val="00483478"/>
    <w:rsid w:val="0048517A"/>
    <w:rsid w:val="004B0FC9"/>
    <w:rsid w:val="004C0F07"/>
    <w:rsid w:val="004E1F64"/>
    <w:rsid w:val="004E3429"/>
    <w:rsid w:val="005032A9"/>
    <w:rsid w:val="0050400D"/>
    <w:rsid w:val="00516AE9"/>
    <w:rsid w:val="00523679"/>
    <w:rsid w:val="00540815"/>
    <w:rsid w:val="0060296E"/>
    <w:rsid w:val="00684B28"/>
    <w:rsid w:val="00692ADF"/>
    <w:rsid w:val="0069798F"/>
    <w:rsid w:val="006A3CE2"/>
    <w:rsid w:val="006C6BEB"/>
    <w:rsid w:val="006D0AF7"/>
    <w:rsid w:val="006D0EB5"/>
    <w:rsid w:val="006D6BEB"/>
    <w:rsid w:val="006E7A93"/>
    <w:rsid w:val="00711A6D"/>
    <w:rsid w:val="00724DFB"/>
    <w:rsid w:val="00775755"/>
    <w:rsid w:val="007B0B02"/>
    <w:rsid w:val="007B1308"/>
    <w:rsid w:val="007D4B7B"/>
    <w:rsid w:val="00811CE5"/>
    <w:rsid w:val="00844A8C"/>
    <w:rsid w:val="008805E1"/>
    <w:rsid w:val="0088327E"/>
    <w:rsid w:val="008A6D81"/>
    <w:rsid w:val="008C75CC"/>
    <w:rsid w:val="008E4DC8"/>
    <w:rsid w:val="008E6E55"/>
    <w:rsid w:val="009020CD"/>
    <w:rsid w:val="00903B08"/>
    <w:rsid w:val="00913149"/>
    <w:rsid w:val="00914FC7"/>
    <w:rsid w:val="009155D0"/>
    <w:rsid w:val="009222F6"/>
    <w:rsid w:val="00944A48"/>
    <w:rsid w:val="00951BA6"/>
    <w:rsid w:val="009930AF"/>
    <w:rsid w:val="009A74EB"/>
    <w:rsid w:val="009C6EBF"/>
    <w:rsid w:val="009E643D"/>
    <w:rsid w:val="009E79D6"/>
    <w:rsid w:val="00A10EB3"/>
    <w:rsid w:val="00A1560A"/>
    <w:rsid w:val="00A46CBF"/>
    <w:rsid w:val="00A84AD7"/>
    <w:rsid w:val="00AB70BD"/>
    <w:rsid w:val="00AC50E0"/>
    <w:rsid w:val="00AD18C3"/>
    <w:rsid w:val="00AD5075"/>
    <w:rsid w:val="00BB7258"/>
    <w:rsid w:val="00BC7430"/>
    <w:rsid w:val="00BD44EE"/>
    <w:rsid w:val="00BD7EBC"/>
    <w:rsid w:val="00BF4B50"/>
    <w:rsid w:val="00C018E8"/>
    <w:rsid w:val="00C12F95"/>
    <w:rsid w:val="00C16E32"/>
    <w:rsid w:val="00C31F8D"/>
    <w:rsid w:val="00C60DA4"/>
    <w:rsid w:val="00C71A37"/>
    <w:rsid w:val="00CD7DF6"/>
    <w:rsid w:val="00D0007C"/>
    <w:rsid w:val="00D10C51"/>
    <w:rsid w:val="00D34814"/>
    <w:rsid w:val="00D61C0D"/>
    <w:rsid w:val="00D93908"/>
    <w:rsid w:val="00DD7A20"/>
    <w:rsid w:val="00DF2A0F"/>
    <w:rsid w:val="00E04115"/>
    <w:rsid w:val="00E07BFF"/>
    <w:rsid w:val="00E3150A"/>
    <w:rsid w:val="00E545A8"/>
    <w:rsid w:val="00E900A9"/>
    <w:rsid w:val="00EE6CE7"/>
    <w:rsid w:val="00F06ECE"/>
    <w:rsid w:val="00F764C5"/>
    <w:rsid w:val="00F91FD6"/>
    <w:rsid w:val="00F9784E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5AF154-E1CF-400C-A9E8-7ADE4CA6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798F"/>
    <w:pPr>
      <w:ind w:left="1440" w:hanging="144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33AB"/>
    <w:rPr>
      <w:rFonts w:ascii="Courier New" w:hAnsi="Courier New" w:cs="Courier New"/>
      <w:sz w:val="24"/>
    </w:rPr>
  </w:style>
  <w:style w:type="character" w:styleId="Hyperlink">
    <w:name w:val="Hyperlink"/>
    <w:rsid w:val="000A33AB"/>
    <w:rPr>
      <w:color w:val="0000FF"/>
      <w:u w:val="single"/>
    </w:rPr>
  </w:style>
  <w:style w:type="paragraph" w:styleId="BalloonText">
    <w:name w:val="Balloon Text"/>
    <w:basedOn w:val="Normal"/>
    <w:semiHidden/>
    <w:rsid w:val="004E342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4597D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rsid w:val="00D10C5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0007C"/>
    <w:pPr>
      <w:ind w:left="720"/>
      <w:contextualSpacing/>
    </w:pPr>
  </w:style>
  <w:style w:type="character" w:styleId="FollowedHyperlink">
    <w:name w:val="FollowedHyperlink"/>
    <w:basedOn w:val="DefaultParagraphFont"/>
    <w:rsid w:val="0054081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04308"/>
    <w:rPr>
      <w:b/>
      <w:sz w:val="24"/>
    </w:rPr>
  </w:style>
  <w:style w:type="character" w:styleId="Strong">
    <w:name w:val="Strong"/>
    <w:basedOn w:val="DefaultParagraphFont"/>
    <w:uiPriority w:val="22"/>
    <w:qFormat/>
    <w:rsid w:val="00104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virginia.gov/instruction/career_technical/civil_rights/cte-civil-rights-checklis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cr/docs/vocr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doe.virginia.gov/administrators/index.shtml" TargetMode="External"/><Relationship Id="rId10" Type="http://schemas.openxmlformats.org/officeDocument/2006/relationships/hyperlink" Target="mailto:cte@doe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e.virginia.gov/instruction/career_technical/civil_rights/civil-rights-six-year-cyclical-schedul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190-20</vt:lpstr>
    </vt:vector>
  </TitlesOfParts>
  <Company>Commonwealth of Virginia</Company>
  <LinksUpToDate>false</LinksUpToDate>
  <CharactersWithSpaces>2413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mailto:Terry.Dougherty@doe.virginia.gov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190-20</dc:title>
  <dc:creator>Virginia Dept. of Education</dc:creator>
  <cp:lastModifiedBy>Jennings, Laura (DOE)</cp:lastModifiedBy>
  <cp:revision>2</cp:revision>
  <cp:lastPrinted>2018-06-21T11:58:00Z</cp:lastPrinted>
  <dcterms:created xsi:type="dcterms:W3CDTF">2020-07-21T14:29:00Z</dcterms:created>
  <dcterms:modified xsi:type="dcterms:W3CDTF">2020-07-21T14:29:00Z</dcterms:modified>
</cp:coreProperties>
</file>