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EA43B9" w:rsidRDefault="00167950" w:rsidP="00167950">
      <w:pPr>
        <w:pStyle w:val="Heading1"/>
        <w:tabs>
          <w:tab w:val="left" w:pos="1440"/>
        </w:tabs>
        <w:rPr>
          <w:szCs w:val="24"/>
        </w:rPr>
      </w:pPr>
      <w:r w:rsidRPr="00EA43B9">
        <w:rPr>
          <w:szCs w:val="24"/>
        </w:rPr>
        <w:t>Superintendent’s Memo #</w:t>
      </w:r>
      <w:bookmarkStart w:id="0" w:name="_GoBack"/>
      <w:r w:rsidR="00C87717">
        <w:rPr>
          <w:szCs w:val="24"/>
        </w:rPr>
        <w:t>186</w:t>
      </w:r>
      <w:r w:rsidRPr="00EA43B9">
        <w:rPr>
          <w:szCs w:val="24"/>
        </w:rPr>
        <w:t>-</w:t>
      </w:r>
      <w:r w:rsidR="00EA43B9" w:rsidRPr="00EA43B9">
        <w:rPr>
          <w:szCs w:val="24"/>
        </w:rPr>
        <w:t>20</w:t>
      </w:r>
      <w:bookmarkEnd w:id="0"/>
    </w:p>
    <w:p w:rsidR="00167950" w:rsidRPr="00EA43B9" w:rsidRDefault="00167950" w:rsidP="00167950">
      <w:pPr>
        <w:jc w:val="center"/>
        <w:rPr>
          <w:szCs w:val="24"/>
          <w:highlight w:val="yellow"/>
        </w:rPr>
      </w:pPr>
      <w:r w:rsidRPr="00EA43B9">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EA43B9">
        <w:rPr>
          <w:szCs w:val="24"/>
        </w:rPr>
        <w:br/>
      </w:r>
      <w:r w:rsidRPr="00EA43B9">
        <w:rPr>
          <w:rStyle w:val="Strong"/>
          <w:color w:val="000000"/>
          <w:szCs w:val="24"/>
        </w:rPr>
        <w:t>COMMONWEALTH of VIRGINIA </w:t>
      </w:r>
      <w:r w:rsidRPr="00EA43B9">
        <w:rPr>
          <w:b/>
          <w:bCs/>
          <w:color w:val="000000"/>
          <w:szCs w:val="24"/>
        </w:rPr>
        <w:br/>
      </w:r>
      <w:r w:rsidRPr="00EA43B9">
        <w:rPr>
          <w:rStyle w:val="Strong"/>
          <w:color w:val="000000"/>
          <w:szCs w:val="24"/>
        </w:rPr>
        <w:t>Department of Education</w:t>
      </w:r>
      <w:r w:rsidR="002F2AF8" w:rsidRPr="00EA43B9">
        <w:rPr>
          <w:rStyle w:val="Strong"/>
          <w:color w:val="000000"/>
          <w:szCs w:val="24"/>
          <w:highlight w:val="yellow"/>
        </w:rPr>
        <w:br/>
      </w:r>
    </w:p>
    <w:p w:rsidR="00167950" w:rsidRPr="00CF192A" w:rsidRDefault="00167950" w:rsidP="00A81436">
      <w:pPr>
        <w:tabs>
          <w:tab w:val="left" w:pos="1800"/>
        </w:tabs>
        <w:rPr>
          <w:szCs w:val="24"/>
        </w:rPr>
      </w:pPr>
      <w:r w:rsidRPr="00CF192A">
        <w:rPr>
          <w:szCs w:val="24"/>
        </w:rPr>
        <w:t>DATE:</w:t>
      </w:r>
      <w:r w:rsidR="00D95780" w:rsidRPr="00CF192A">
        <w:rPr>
          <w:szCs w:val="24"/>
        </w:rPr>
        <w:tab/>
      </w:r>
      <w:r w:rsidR="00350537" w:rsidRPr="00CF192A">
        <w:rPr>
          <w:szCs w:val="24"/>
        </w:rPr>
        <w:t>July</w:t>
      </w:r>
      <w:r w:rsidR="005E4B01" w:rsidRPr="00CF192A">
        <w:rPr>
          <w:szCs w:val="24"/>
        </w:rPr>
        <w:t xml:space="preserve"> </w:t>
      </w:r>
      <w:r w:rsidR="00DD3B32">
        <w:rPr>
          <w:szCs w:val="24"/>
        </w:rPr>
        <w:t>24</w:t>
      </w:r>
      <w:r w:rsidR="00CF192A" w:rsidRPr="00CF192A">
        <w:rPr>
          <w:szCs w:val="24"/>
        </w:rPr>
        <w:t>, 2020</w:t>
      </w:r>
    </w:p>
    <w:p w:rsidR="00167950" w:rsidRPr="00CF192A" w:rsidRDefault="00167950" w:rsidP="00A81436">
      <w:pPr>
        <w:tabs>
          <w:tab w:val="left" w:pos="1800"/>
        </w:tabs>
        <w:rPr>
          <w:szCs w:val="24"/>
        </w:rPr>
      </w:pPr>
      <w:r w:rsidRPr="00CF192A">
        <w:rPr>
          <w:szCs w:val="24"/>
        </w:rPr>
        <w:t xml:space="preserve">TO: </w:t>
      </w:r>
      <w:r w:rsidR="00D95780" w:rsidRPr="00CF192A">
        <w:rPr>
          <w:szCs w:val="24"/>
        </w:rPr>
        <w:tab/>
      </w:r>
      <w:r w:rsidRPr="00CF192A">
        <w:rPr>
          <w:szCs w:val="24"/>
        </w:rPr>
        <w:t>Division Superintendents</w:t>
      </w:r>
    </w:p>
    <w:p w:rsidR="00167950" w:rsidRPr="00CF192A" w:rsidRDefault="00167950" w:rsidP="00A81436">
      <w:pPr>
        <w:tabs>
          <w:tab w:val="left" w:pos="1800"/>
        </w:tabs>
        <w:rPr>
          <w:szCs w:val="24"/>
        </w:rPr>
      </w:pPr>
      <w:r w:rsidRPr="00CF192A">
        <w:rPr>
          <w:szCs w:val="24"/>
        </w:rPr>
        <w:t xml:space="preserve">FROM: </w:t>
      </w:r>
      <w:r w:rsidR="00D95780" w:rsidRPr="00CF192A">
        <w:rPr>
          <w:szCs w:val="24"/>
        </w:rPr>
        <w:tab/>
      </w:r>
      <w:r w:rsidRPr="00CF192A">
        <w:rPr>
          <w:color w:val="000000"/>
          <w:szCs w:val="24"/>
        </w:rPr>
        <w:t>James F. Lane</w:t>
      </w:r>
      <w:r w:rsidRPr="00CF192A">
        <w:rPr>
          <w:szCs w:val="24"/>
        </w:rPr>
        <w:t xml:space="preserve">, </w:t>
      </w:r>
      <w:r w:rsidR="00414707" w:rsidRPr="00CF192A">
        <w:rPr>
          <w:color w:val="000000"/>
          <w:szCs w:val="24"/>
        </w:rPr>
        <w:t>Ed.D., </w:t>
      </w:r>
      <w:r w:rsidRPr="00CF192A">
        <w:rPr>
          <w:szCs w:val="24"/>
        </w:rPr>
        <w:t>Superintendent of Public Instruction</w:t>
      </w:r>
    </w:p>
    <w:p w:rsidR="000B2306" w:rsidRPr="00CF192A" w:rsidRDefault="00167950" w:rsidP="00114A1F">
      <w:pPr>
        <w:pStyle w:val="Heading2"/>
        <w:tabs>
          <w:tab w:val="left" w:pos="1800"/>
        </w:tabs>
        <w:ind w:left="1800" w:hanging="1800"/>
        <w:rPr>
          <w:b w:val="0"/>
        </w:rPr>
      </w:pPr>
      <w:r w:rsidRPr="00CF192A">
        <w:rPr>
          <w:szCs w:val="24"/>
        </w:rPr>
        <w:t xml:space="preserve">SUBJECT: </w:t>
      </w:r>
      <w:r w:rsidR="00D95780" w:rsidRPr="00CF192A">
        <w:rPr>
          <w:szCs w:val="24"/>
        </w:rPr>
        <w:tab/>
      </w:r>
      <w:r w:rsidR="00890F13" w:rsidRPr="00CF192A">
        <w:rPr>
          <w:szCs w:val="24"/>
        </w:rPr>
        <w:t>Release of July 1, 201</w:t>
      </w:r>
      <w:r w:rsidR="00CF192A">
        <w:rPr>
          <w:szCs w:val="24"/>
        </w:rPr>
        <w:t>9</w:t>
      </w:r>
      <w:r w:rsidR="00890F13" w:rsidRPr="00CF192A">
        <w:rPr>
          <w:szCs w:val="24"/>
        </w:rPr>
        <w:t xml:space="preserve"> School-A</w:t>
      </w:r>
      <w:r w:rsidR="00114A1F" w:rsidRPr="00CF192A">
        <w:rPr>
          <w:szCs w:val="24"/>
        </w:rPr>
        <w:t>ge Population Estimates Used to Distribute Fiscal Year 202</w:t>
      </w:r>
      <w:r w:rsidR="00CF192A">
        <w:rPr>
          <w:szCs w:val="24"/>
        </w:rPr>
        <w:t>2</w:t>
      </w:r>
      <w:r w:rsidR="00114A1F" w:rsidRPr="00CF192A">
        <w:rPr>
          <w:szCs w:val="24"/>
        </w:rPr>
        <w:t xml:space="preserve"> Sales Tax Revenues, and Estimate Review Process</w:t>
      </w:r>
    </w:p>
    <w:p w:rsidR="00114A1F" w:rsidRPr="00CF192A" w:rsidRDefault="00114A1F" w:rsidP="00114A1F">
      <w:pPr>
        <w:numPr>
          <w:ilvl w:val="0"/>
          <w:numId w:val="7"/>
        </w:numPr>
        <w:spacing w:after="0"/>
        <w:rPr>
          <w:rFonts w:eastAsia="Times New Roman" w:cs="Times New Roman"/>
          <w:szCs w:val="24"/>
        </w:rPr>
      </w:pPr>
      <w:r w:rsidRPr="00CF192A">
        <w:rPr>
          <w:rFonts w:eastAsia="Times New Roman" w:cs="Times New Roman"/>
          <w:szCs w:val="24"/>
        </w:rPr>
        <w:t xml:space="preserve">Pursuant to </w:t>
      </w:r>
      <w:hyperlink r:id="rId10" w:history="1">
        <w:r w:rsidRPr="00CF192A">
          <w:rPr>
            <w:rFonts w:eastAsia="Times New Roman" w:cs="Times New Roman"/>
            <w:color w:val="0000FF"/>
            <w:szCs w:val="24"/>
            <w:u w:val="single"/>
          </w:rPr>
          <w:t xml:space="preserve">Section 58.1-638, </w:t>
        </w:r>
        <w:r w:rsidRPr="00CF192A">
          <w:rPr>
            <w:rFonts w:eastAsia="Times New Roman" w:cs="Times New Roman"/>
            <w:i/>
            <w:color w:val="0000FF"/>
            <w:szCs w:val="24"/>
            <w:u w:val="single"/>
          </w:rPr>
          <w:t>C</w:t>
        </w:r>
        <w:r w:rsidRPr="00CF192A">
          <w:rPr>
            <w:rFonts w:eastAsia="Times New Roman" w:cs="Times New Roman"/>
            <w:i/>
            <w:color w:val="0000FF"/>
            <w:szCs w:val="24"/>
            <w:u w:val="single"/>
          </w:rPr>
          <w:t>o</w:t>
        </w:r>
        <w:r w:rsidRPr="00CF192A">
          <w:rPr>
            <w:rFonts w:eastAsia="Times New Roman" w:cs="Times New Roman"/>
            <w:i/>
            <w:color w:val="0000FF"/>
            <w:szCs w:val="24"/>
            <w:u w:val="single"/>
          </w:rPr>
          <w:t>de of Virginia</w:t>
        </w:r>
      </w:hyperlink>
      <w:r w:rsidRPr="00CF192A">
        <w:rPr>
          <w:rFonts w:eastAsia="Times New Roman" w:cs="Times New Roman"/>
          <w:szCs w:val="24"/>
        </w:rPr>
        <w:t>, the Weldon Cooper Center for Public Service at the University of Virginia has prepared the July 1, 201</w:t>
      </w:r>
      <w:r w:rsidR="00CF192A" w:rsidRPr="00CF192A">
        <w:rPr>
          <w:rFonts w:eastAsia="Times New Roman" w:cs="Times New Roman"/>
          <w:szCs w:val="24"/>
        </w:rPr>
        <w:t>9</w:t>
      </w:r>
      <w:r w:rsidRPr="00CF192A">
        <w:rPr>
          <w:rFonts w:eastAsia="Times New Roman" w:cs="Times New Roman"/>
          <w:szCs w:val="24"/>
        </w:rPr>
        <w:t>, school-age population estimat</w:t>
      </w:r>
      <w:r w:rsidR="007B6700">
        <w:rPr>
          <w:rFonts w:eastAsia="Times New Roman" w:cs="Times New Roman"/>
          <w:szCs w:val="24"/>
        </w:rPr>
        <w:t xml:space="preserve">es. </w:t>
      </w:r>
      <w:r w:rsidRPr="00CF192A">
        <w:rPr>
          <w:rFonts w:eastAsia="Times New Roman" w:cs="Times New Roman"/>
          <w:szCs w:val="24"/>
        </w:rPr>
        <w:t xml:space="preserve">These estimates will be used to update the fiscal year </w:t>
      </w:r>
      <w:r w:rsidR="00CF192A" w:rsidRPr="00CF192A">
        <w:rPr>
          <w:rFonts w:eastAsia="Times New Roman" w:cs="Times New Roman"/>
          <w:szCs w:val="24"/>
        </w:rPr>
        <w:t xml:space="preserve">(FY) </w:t>
      </w:r>
      <w:r w:rsidR="00DC72DB" w:rsidRPr="00CF192A">
        <w:rPr>
          <w:rFonts w:eastAsia="Times New Roman" w:cs="Times New Roman"/>
          <w:szCs w:val="24"/>
        </w:rPr>
        <w:t>202</w:t>
      </w:r>
      <w:r w:rsidR="00CF192A" w:rsidRPr="00CF192A">
        <w:rPr>
          <w:rFonts w:eastAsia="Times New Roman" w:cs="Times New Roman"/>
          <w:szCs w:val="24"/>
        </w:rPr>
        <w:t>2</w:t>
      </w:r>
      <w:r w:rsidRPr="00CF192A">
        <w:rPr>
          <w:rFonts w:eastAsia="Times New Roman" w:cs="Times New Roman"/>
          <w:szCs w:val="24"/>
        </w:rPr>
        <w:t xml:space="preserve"> sales tax revenue distribution estimates to school divisions in the Governor’s </w:t>
      </w:r>
      <w:r w:rsidR="00CF192A" w:rsidRPr="00CF192A">
        <w:rPr>
          <w:rFonts w:eastAsia="Times New Roman" w:cs="Times New Roman"/>
          <w:szCs w:val="24"/>
        </w:rPr>
        <w:t>amended</w:t>
      </w:r>
      <w:r w:rsidRPr="00CF192A">
        <w:rPr>
          <w:rFonts w:eastAsia="Times New Roman" w:cs="Times New Roman"/>
          <w:szCs w:val="24"/>
        </w:rPr>
        <w:t xml:space="preserve"> </w:t>
      </w:r>
      <w:r w:rsidR="00DC72DB" w:rsidRPr="00CF192A">
        <w:rPr>
          <w:rFonts w:eastAsia="Times New Roman" w:cs="Times New Roman"/>
          <w:szCs w:val="24"/>
        </w:rPr>
        <w:t>2020</w:t>
      </w:r>
      <w:r w:rsidRPr="00CF192A">
        <w:rPr>
          <w:rFonts w:eastAsia="Times New Roman" w:cs="Times New Roman"/>
          <w:szCs w:val="24"/>
        </w:rPr>
        <w:t>-20</w:t>
      </w:r>
      <w:r w:rsidR="00DC72DB" w:rsidRPr="00CF192A">
        <w:rPr>
          <w:rFonts w:eastAsia="Times New Roman" w:cs="Times New Roman"/>
          <w:szCs w:val="24"/>
        </w:rPr>
        <w:t>22</w:t>
      </w:r>
      <w:r w:rsidRPr="00CF192A">
        <w:rPr>
          <w:rFonts w:eastAsia="Times New Roman" w:cs="Times New Roman"/>
          <w:szCs w:val="24"/>
        </w:rPr>
        <w:t xml:space="preserve"> biennial budget</w:t>
      </w:r>
      <w:r w:rsidR="00CF192A" w:rsidRPr="00CF192A">
        <w:rPr>
          <w:rFonts w:eastAsia="Times New Roman" w:cs="Times New Roman"/>
          <w:szCs w:val="24"/>
        </w:rPr>
        <w:t>, to be released in December 2020</w:t>
      </w:r>
      <w:r w:rsidR="007B6700">
        <w:rPr>
          <w:rFonts w:eastAsia="Times New Roman" w:cs="Times New Roman"/>
          <w:szCs w:val="24"/>
        </w:rPr>
        <w:t xml:space="preserve">. </w:t>
      </w:r>
      <w:r w:rsidRPr="00CF192A">
        <w:rPr>
          <w:rFonts w:eastAsia="Times New Roman" w:cs="Times New Roman"/>
          <w:szCs w:val="24"/>
        </w:rPr>
        <w:t>F</w:t>
      </w:r>
      <w:r w:rsidR="00CF192A" w:rsidRPr="00CF192A">
        <w:rPr>
          <w:rFonts w:eastAsia="Times New Roman" w:cs="Times New Roman"/>
          <w:szCs w:val="24"/>
        </w:rPr>
        <w:t>Y</w:t>
      </w:r>
      <w:r w:rsidRPr="00CF192A">
        <w:rPr>
          <w:rFonts w:eastAsia="Times New Roman" w:cs="Times New Roman"/>
          <w:szCs w:val="24"/>
        </w:rPr>
        <w:t xml:space="preserve"> </w:t>
      </w:r>
      <w:r w:rsidR="00DC72DB" w:rsidRPr="00CF192A">
        <w:rPr>
          <w:rFonts w:eastAsia="Times New Roman" w:cs="Times New Roman"/>
          <w:szCs w:val="24"/>
        </w:rPr>
        <w:t>202</w:t>
      </w:r>
      <w:r w:rsidR="00CF192A" w:rsidRPr="00CF192A">
        <w:rPr>
          <w:rFonts w:eastAsia="Times New Roman" w:cs="Times New Roman"/>
          <w:szCs w:val="24"/>
        </w:rPr>
        <w:t>2</w:t>
      </w:r>
      <w:r w:rsidRPr="00CF192A">
        <w:rPr>
          <w:rFonts w:eastAsia="Times New Roman" w:cs="Times New Roman"/>
          <w:szCs w:val="24"/>
        </w:rPr>
        <w:t xml:space="preserve"> funding distributions based on the July 1, 201</w:t>
      </w:r>
      <w:r w:rsidR="00CF192A" w:rsidRPr="00CF192A">
        <w:rPr>
          <w:rFonts w:eastAsia="Times New Roman" w:cs="Times New Roman"/>
          <w:szCs w:val="24"/>
        </w:rPr>
        <w:t>9</w:t>
      </w:r>
      <w:r w:rsidR="00890F13" w:rsidRPr="00CF192A">
        <w:rPr>
          <w:rFonts w:eastAsia="Times New Roman" w:cs="Times New Roman"/>
          <w:szCs w:val="24"/>
        </w:rPr>
        <w:t>,</w:t>
      </w:r>
      <w:r w:rsidRPr="00CF192A">
        <w:rPr>
          <w:rFonts w:eastAsia="Times New Roman" w:cs="Times New Roman"/>
          <w:szCs w:val="24"/>
        </w:rPr>
        <w:t xml:space="preserve"> school-age population estimates will not be released until the Governor’s budget release in December 20</w:t>
      </w:r>
      <w:r w:rsidR="00CF192A" w:rsidRPr="00CF192A">
        <w:rPr>
          <w:rFonts w:eastAsia="Times New Roman" w:cs="Times New Roman"/>
          <w:szCs w:val="24"/>
        </w:rPr>
        <w:t>20</w:t>
      </w:r>
      <w:r w:rsidR="007B6700">
        <w:rPr>
          <w:rFonts w:eastAsia="Times New Roman" w:cs="Times New Roman"/>
          <w:szCs w:val="24"/>
        </w:rPr>
        <w:t xml:space="preserve">. </w:t>
      </w:r>
      <w:r w:rsidRPr="00CF192A">
        <w:rPr>
          <w:rFonts w:eastAsia="Times New Roman" w:cs="Times New Roman"/>
          <w:szCs w:val="24"/>
        </w:rPr>
        <w:t>Please note that the distribution of actual sales tax receipts to school divisions on a s</w:t>
      </w:r>
      <w:r w:rsidR="00CF192A" w:rsidRPr="00CF192A">
        <w:rPr>
          <w:rFonts w:eastAsia="Times New Roman" w:cs="Times New Roman"/>
          <w:szCs w:val="24"/>
        </w:rPr>
        <w:t>emi-monthly basis in FY</w:t>
      </w:r>
      <w:r w:rsidRPr="00CF192A">
        <w:rPr>
          <w:rFonts w:eastAsia="Times New Roman" w:cs="Times New Roman"/>
          <w:szCs w:val="24"/>
        </w:rPr>
        <w:t xml:space="preserve"> 202</w:t>
      </w:r>
      <w:r w:rsidR="00CF192A" w:rsidRPr="00CF192A">
        <w:rPr>
          <w:rFonts w:eastAsia="Times New Roman" w:cs="Times New Roman"/>
          <w:szCs w:val="24"/>
        </w:rPr>
        <w:t>2</w:t>
      </w:r>
      <w:r w:rsidRPr="00CF192A">
        <w:rPr>
          <w:rFonts w:eastAsia="Times New Roman" w:cs="Times New Roman"/>
          <w:szCs w:val="24"/>
        </w:rPr>
        <w:t xml:space="preserve"> will also be based on the July 1, 201</w:t>
      </w:r>
      <w:r w:rsidR="00CF192A" w:rsidRPr="00CF192A">
        <w:rPr>
          <w:rFonts w:eastAsia="Times New Roman" w:cs="Times New Roman"/>
          <w:szCs w:val="24"/>
        </w:rPr>
        <w:t>9</w:t>
      </w:r>
      <w:r w:rsidRPr="00CF192A">
        <w:rPr>
          <w:rFonts w:eastAsia="Times New Roman" w:cs="Times New Roman"/>
          <w:szCs w:val="24"/>
        </w:rPr>
        <w:t>, school-age population estimates.</w:t>
      </w:r>
    </w:p>
    <w:p w:rsidR="00114A1F" w:rsidRPr="00EA43B9" w:rsidRDefault="00114A1F" w:rsidP="00114A1F">
      <w:pPr>
        <w:numPr>
          <w:ilvl w:val="0"/>
          <w:numId w:val="7"/>
        </w:numPr>
        <w:spacing w:after="0"/>
        <w:rPr>
          <w:rFonts w:eastAsia="Times New Roman" w:cs="Times New Roman"/>
          <w:szCs w:val="24"/>
          <w:highlight w:val="yellow"/>
        </w:rPr>
      </w:pPr>
    </w:p>
    <w:p w:rsidR="00114A1F" w:rsidRPr="004667D2" w:rsidRDefault="002A646A" w:rsidP="00114A1F">
      <w:pPr>
        <w:numPr>
          <w:ilvl w:val="0"/>
          <w:numId w:val="7"/>
        </w:numPr>
        <w:spacing w:after="0"/>
        <w:rPr>
          <w:rFonts w:eastAsia="Times New Roman" w:cs="Times New Roman"/>
          <w:szCs w:val="24"/>
        </w:rPr>
      </w:pPr>
      <w:hyperlink r:id="rId11" w:history="1">
        <w:r w:rsidR="00114A1F" w:rsidRPr="004667D2">
          <w:rPr>
            <w:rFonts w:eastAsia="Times New Roman" w:cs="Times New Roman"/>
            <w:color w:val="0000FF"/>
            <w:szCs w:val="24"/>
            <w:u w:val="single"/>
          </w:rPr>
          <w:t>Attachme</w:t>
        </w:r>
        <w:r w:rsidR="00114A1F" w:rsidRPr="004667D2">
          <w:rPr>
            <w:rFonts w:eastAsia="Times New Roman" w:cs="Times New Roman"/>
            <w:color w:val="0000FF"/>
            <w:szCs w:val="24"/>
            <w:u w:val="single"/>
          </w:rPr>
          <w:t>n</w:t>
        </w:r>
        <w:r w:rsidR="00114A1F" w:rsidRPr="004667D2">
          <w:rPr>
            <w:rFonts w:eastAsia="Times New Roman" w:cs="Times New Roman"/>
            <w:color w:val="0000FF"/>
            <w:szCs w:val="24"/>
            <w:u w:val="single"/>
          </w:rPr>
          <w:t>t</w:t>
        </w:r>
        <w:r w:rsidR="00114A1F" w:rsidRPr="004667D2">
          <w:rPr>
            <w:rFonts w:eastAsia="Times New Roman" w:cs="Times New Roman"/>
            <w:color w:val="0000FF"/>
            <w:szCs w:val="24"/>
            <w:u w:val="single"/>
          </w:rPr>
          <w:t xml:space="preserve"> </w:t>
        </w:r>
        <w:r w:rsidR="00114A1F" w:rsidRPr="004667D2">
          <w:rPr>
            <w:rFonts w:eastAsia="Times New Roman" w:cs="Times New Roman"/>
            <w:color w:val="0000FF"/>
            <w:szCs w:val="24"/>
            <w:u w:val="single"/>
          </w:rPr>
          <w:t>A</w:t>
        </w:r>
      </w:hyperlink>
      <w:r w:rsidR="00114A1F" w:rsidRPr="004667D2">
        <w:rPr>
          <w:rFonts w:eastAsia="Times New Roman" w:cs="Times New Roman"/>
          <w:szCs w:val="24"/>
        </w:rPr>
        <w:t xml:space="preserve"> to this memo includes a table that displays total and percent change of school-age population by school division from 201</w:t>
      </w:r>
      <w:r w:rsidR="004667D2" w:rsidRPr="004667D2">
        <w:rPr>
          <w:rFonts w:eastAsia="Times New Roman" w:cs="Times New Roman"/>
          <w:szCs w:val="24"/>
        </w:rPr>
        <w:t>8</w:t>
      </w:r>
      <w:r w:rsidR="00114A1F" w:rsidRPr="004667D2">
        <w:rPr>
          <w:rFonts w:eastAsia="Times New Roman" w:cs="Times New Roman"/>
          <w:szCs w:val="24"/>
        </w:rPr>
        <w:t xml:space="preserve"> to 201</w:t>
      </w:r>
      <w:r w:rsidR="004667D2" w:rsidRPr="004667D2">
        <w:rPr>
          <w:rFonts w:eastAsia="Times New Roman" w:cs="Times New Roman"/>
          <w:szCs w:val="24"/>
        </w:rPr>
        <w:t>9</w:t>
      </w:r>
      <w:r w:rsidR="007B6700">
        <w:rPr>
          <w:rFonts w:eastAsia="Times New Roman" w:cs="Times New Roman"/>
          <w:szCs w:val="24"/>
        </w:rPr>
        <w:t xml:space="preserve">. </w:t>
      </w:r>
      <w:r w:rsidR="00114A1F" w:rsidRPr="004667D2">
        <w:rPr>
          <w:rFonts w:eastAsia="Times New Roman" w:cs="Times New Roman"/>
          <w:szCs w:val="24"/>
        </w:rPr>
        <w:t>This table, along with the detailed information from the Weldon Cooper Center referenced below, will assist divisions with the estimation of c</w:t>
      </w:r>
      <w:r w:rsidR="00EA24E5">
        <w:rPr>
          <w:rFonts w:eastAsia="Times New Roman" w:cs="Times New Roman"/>
          <w:szCs w:val="24"/>
        </w:rPr>
        <w:t xml:space="preserve">hanges to their FY </w:t>
      </w:r>
      <w:r w:rsidR="00DC72DB" w:rsidRPr="004667D2">
        <w:rPr>
          <w:rFonts w:eastAsia="Times New Roman" w:cs="Times New Roman"/>
          <w:szCs w:val="24"/>
        </w:rPr>
        <w:t>202</w:t>
      </w:r>
      <w:r w:rsidR="004667D2" w:rsidRPr="004667D2">
        <w:rPr>
          <w:rFonts w:eastAsia="Times New Roman" w:cs="Times New Roman"/>
          <w:szCs w:val="24"/>
        </w:rPr>
        <w:t>2</w:t>
      </w:r>
      <w:r w:rsidR="00114A1F" w:rsidRPr="004667D2">
        <w:rPr>
          <w:rFonts w:eastAsia="Times New Roman" w:cs="Times New Roman"/>
          <w:szCs w:val="24"/>
        </w:rPr>
        <w:t xml:space="preserve"> sales tax distributions as well as assist with the technical reviews of the proposed population estimates. </w:t>
      </w:r>
    </w:p>
    <w:p w:rsidR="00114A1F" w:rsidRPr="00EA43B9" w:rsidRDefault="00114A1F" w:rsidP="00114A1F">
      <w:pPr>
        <w:numPr>
          <w:ilvl w:val="0"/>
          <w:numId w:val="7"/>
        </w:numPr>
        <w:spacing w:after="0"/>
        <w:rPr>
          <w:rFonts w:eastAsia="Times New Roman" w:cs="Times New Roman"/>
          <w:szCs w:val="24"/>
          <w:highlight w:val="yellow"/>
        </w:rPr>
      </w:pPr>
    </w:p>
    <w:p w:rsidR="00114A1F" w:rsidRPr="00EA24E5" w:rsidRDefault="00114A1F" w:rsidP="00114A1F">
      <w:pPr>
        <w:numPr>
          <w:ilvl w:val="0"/>
          <w:numId w:val="7"/>
        </w:numPr>
        <w:spacing w:after="0"/>
        <w:rPr>
          <w:rFonts w:eastAsia="Times New Roman" w:cs="Times New Roman"/>
          <w:szCs w:val="24"/>
        </w:rPr>
      </w:pPr>
      <w:r w:rsidRPr="00EA24E5">
        <w:rPr>
          <w:rFonts w:eastAsia="Times New Roman" w:cs="Times New Roman"/>
          <w:szCs w:val="24"/>
        </w:rPr>
        <w:t xml:space="preserve">The sales tax revenue </w:t>
      </w:r>
      <w:r w:rsidR="00EA24E5">
        <w:rPr>
          <w:rFonts w:eastAsia="Times New Roman" w:cs="Times New Roman"/>
          <w:szCs w:val="24"/>
        </w:rPr>
        <w:t>distribution for FY</w:t>
      </w:r>
      <w:r w:rsidR="00DC72DB" w:rsidRPr="00EA24E5">
        <w:rPr>
          <w:rFonts w:eastAsia="Times New Roman" w:cs="Times New Roman"/>
          <w:szCs w:val="24"/>
        </w:rPr>
        <w:t xml:space="preserve"> 202</w:t>
      </w:r>
      <w:r w:rsidR="00EA24E5" w:rsidRPr="00EA24E5">
        <w:rPr>
          <w:rFonts w:eastAsia="Times New Roman" w:cs="Times New Roman"/>
          <w:szCs w:val="24"/>
        </w:rPr>
        <w:t>1</w:t>
      </w:r>
      <w:r w:rsidRPr="00EA24E5">
        <w:rPr>
          <w:rFonts w:eastAsia="Times New Roman" w:cs="Times New Roman"/>
          <w:szCs w:val="24"/>
        </w:rPr>
        <w:t xml:space="preserve"> will continue to be based on the previously released July 1, 201</w:t>
      </w:r>
      <w:r w:rsidR="00EA24E5" w:rsidRPr="00EA24E5">
        <w:rPr>
          <w:rFonts w:eastAsia="Times New Roman" w:cs="Times New Roman"/>
          <w:szCs w:val="24"/>
        </w:rPr>
        <w:t>8</w:t>
      </w:r>
      <w:r w:rsidR="00890F13" w:rsidRPr="00EA24E5">
        <w:rPr>
          <w:rFonts w:eastAsia="Times New Roman" w:cs="Times New Roman"/>
          <w:szCs w:val="24"/>
        </w:rPr>
        <w:t>,</w:t>
      </w:r>
      <w:r w:rsidRPr="00EA24E5">
        <w:rPr>
          <w:rFonts w:eastAsia="Times New Roman" w:cs="Times New Roman"/>
          <w:szCs w:val="24"/>
        </w:rPr>
        <w:t xml:space="preserve"> school-age population estimates; please see </w:t>
      </w:r>
      <w:hyperlink r:id="rId12" w:history="1">
        <w:r w:rsidR="00EA24E5" w:rsidRPr="00EA24E5">
          <w:rPr>
            <w:rFonts w:eastAsia="Times New Roman" w:cs="Times New Roman"/>
            <w:color w:val="0000FF"/>
            <w:szCs w:val="24"/>
            <w:u w:val="single"/>
          </w:rPr>
          <w:t>Su</w:t>
        </w:r>
        <w:r w:rsidR="00EA24E5" w:rsidRPr="00EA24E5">
          <w:rPr>
            <w:rFonts w:eastAsia="Times New Roman" w:cs="Times New Roman"/>
            <w:color w:val="0000FF"/>
            <w:szCs w:val="24"/>
            <w:u w:val="single"/>
          </w:rPr>
          <w:t>p</w:t>
        </w:r>
        <w:r w:rsidR="00EA24E5" w:rsidRPr="00EA24E5">
          <w:rPr>
            <w:rFonts w:eastAsia="Times New Roman" w:cs="Times New Roman"/>
            <w:color w:val="0000FF"/>
            <w:szCs w:val="24"/>
            <w:u w:val="single"/>
          </w:rPr>
          <w:t>erintendent’s Memo No. 157-19</w:t>
        </w:r>
      </w:hyperlink>
      <w:r w:rsidRPr="00EA24E5">
        <w:rPr>
          <w:rFonts w:eastAsia="Times New Roman" w:cs="Times New Roman"/>
          <w:szCs w:val="24"/>
        </w:rPr>
        <w:t xml:space="preserve"> for more information.</w:t>
      </w:r>
    </w:p>
    <w:p w:rsidR="00114A1F" w:rsidRPr="00EA24E5" w:rsidRDefault="00114A1F" w:rsidP="00114A1F">
      <w:pPr>
        <w:numPr>
          <w:ilvl w:val="0"/>
          <w:numId w:val="7"/>
        </w:numPr>
        <w:spacing w:after="0"/>
        <w:rPr>
          <w:rFonts w:eastAsia="Times New Roman" w:cs="Times New Roman"/>
          <w:szCs w:val="24"/>
        </w:rPr>
      </w:pPr>
    </w:p>
    <w:p w:rsidR="00114A1F" w:rsidRPr="00EA24E5" w:rsidRDefault="00114A1F" w:rsidP="00114A1F">
      <w:pPr>
        <w:spacing w:after="0"/>
        <w:ind w:left="1440" w:hanging="1440"/>
        <w:rPr>
          <w:rFonts w:eastAsia="Times New Roman" w:cs="Times New Roman"/>
          <w:b/>
          <w:szCs w:val="24"/>
        </w:rPr>
      </w:pPr>
      <w:r w:rsidRPr="00EA24E5">
        <w:rPr>
          <w:rFonts w:eastAsia="Times New Roman" w:cs="Times New Roman"/>
          <w:b/>
          <w:szCs w:val="24"/>
        </w:rPr>
        <w:t>Weldon Cooper Center School-Age Population Estimates as of July 1, 201</w:t>
      </w:r>
      <w:r w:rsidR="00EA24E5" w:rsidRPr="00EA24E5">
        <w:rPr>
          <w:rFonts w:eastAsia="Times New Roman" w:cs="Times New Roman"/>
          <w:b/>
          <w:szCs w:val="24"/>
        </w:rPr>
        <w:t>9</w:t>
      </w:r>
      <w:r w:rsidRPr="00EA24E5">
        <w:rPr>
          <w:rFonts w:eastAsia="Times New Roman" w:cs="Times New Roman"/>
          <w:b/>
          <w:szCs w:val="24"/>
        </w:rPr>
        <w:t xml:space="preserve"> </w:t>
      </w:r>
    </w:p>
    <w:p w:rsidR="00114A1F" w:rsidRPr="00EA43B9" w:rsidRDefault="00114A1F" w:rsidP="00114A1F">
      <w:pPr>
        <w:numPr>
          <w:ilvl w:val="0"/>
          <w:numId w:val="7"/>
        </w:numPr>
        <w:spacing w:after="0"/>
        <w:rPr>
          <w:rFonts w:eastAsia="Times New Roman" w:cs="Times New Roman"/>
          <w:szCs w:val="24"/>
          <w:highlight w:val="yellow"/>
        </w:rPr>
      </w:pPr>
    </w:p>
    <w:p w:rsidR="00114A1F" w:rsidRPr="00EA24E5" w:rsidRDefault="00114A1F" w:rsidP="00114A1F">
      <w:pPr>
        <w:numPr>
          <w:ilvl w:val="0"/>
          <w:numId w:val="7"/>
        </w:numPr>
        <w:spacing w:after="0"/>
        <w:rPr>
          <w:rFonts w:eastAsia="Times New Roman" w:cs="Times New Roman"/>
          <w:szCs w:val="24"/>
        </w:rPr>
      </w:pPr>
      <w:r w:rsidRPr="00EA24E5">
        <w:rPr>
          <w:rFonts w:eastAsia="Times New Roman" w:cs="Times New Roman"/>
          <w:szCs w:val="24"/>
        </w:rPr>
        <w:t>A data file containing the July 1, 201</w:t>
      </w:r>
      <w:r w:rsidR="00EA24E5" w:rsidRPr="00EA24E5">
        <w:rPr>
          <w:rFonts w:eastAsia="Times New Roman" w:cs="Times New Roman"/>
          <w:szCs w:val="24"/>
        </w:rPr>
        <w:t>9</w:t>
      </w:r>
      <w:r w:rsidRPr="00EA24E5">
        <w:rPr>
          <w:rFonts w:eastAsia="Times New Roman" w:cs="Times New Roman"/>
          <w:szCs w:val="24"/>
        </w:rPr>
        <w:t xml:space="preserve">, school-age population estimate for each division (including the special education counts) and a document providing an overview of the </w:t>
      </w:r>
      <w:r w:rsidRPr="00EA24E5">
        <w:rPr>
          <w:rFonts w:eastAsia="Times New Roman" w:cs="Times New Roman"/>
          <w:szCs w:val="24"/>
        </w:rPr>
        <w:lastRenderedPageBreak/>
        <w:t xml:space="preserve">methodology used by the Weldon Cooper Center in producing the estimates have been posted on the </w:t>
      </w:r>
      <w:hyperlink r:id="rId13" w:history="1">
        <w:r w:rsidRPr="00EA24E5">
          <w:rPr>
            <w:rFonts w:eastAsia="Times New Roman" w:cs="Times New Roman"/>
            <w:color w:val="0000FF"/>
            <w:szCs w:val="24"/>
            <w:u w:val="single"/>
          </w:rPr>
          <w:t>Weldon Cooper Ce</w:t>
        </w:r>
        <w:r w:rsidRPr="00EA24E5">
          <w:rPr>
            <w:rFonts w:eastAsia="Times New Roman" w:cs="Times New Roman"/>
            <w:color w:val="0000FF"/>
            <w:szCs w:val="24"/>
            <w:u w:val="single"/>
          </w:rPr>
          <w:t>n</w:t>
        </w:r>
        <w:r w:rsidRPr="00EA24E5">
          <w:rPr>
            <w:rFonts w:eastAsia="Times New Roman" w:cs="Times New Roman"/>
            <w:color w:val="0000FF"/>
            <w:szCs w:val="24"/>
            <w:u w:val="single"/>
          </w:rPr>
          <w:t>ter’s website</w:t>
        </w:r>
      </w:hyperlink>
      <w:r w:rsidR="007B6700">
        <w:rPr>
          <w:rFonts w:eastAsia="Times New Roman" w:cs="Times New Roman"/>
          <w:szCs w:val="24"/>
        </w:rPr>
        <w:t xml:space="preserve">. </w:t>
      </w:r>
      <w:r w:rsidRPr="00EA24E5">
        <w:rPr>
          <w:rFonts w:eastAsia="Times New Roman" w:cs="Times New Roman"/>
          <w:szCs w:val="24"/>
        </w:rPr>
        <w:t>The availability of the estimates has also been announced to local governments via the Virginia Municipal League (VML) and the Virginia Association of Counties (VACO).</w:t>
      </w:r>
    </w:p>
    <w:p w:rsidR="00114A1F" w:rsidRPr="00EA43B9" w:rsidRDefault="00114A1F" w:rsidP="00114A1F">
      <w:pPr>
        <w:numPr>
          <w:ilvl w:val="0"/>
          <w:numId w:val="7"/>
        </w:numPr>
        <w:spacing w:after="0"/>
        <w:rPr>
          <w:rFonts w:eastAsia="Times New Roman" w:cs="Times New Roman"/>
          <w:szCs w:val="24"/>
          <w:highlight w:val="yellow"/>
        </w:rPr>
      </w:pPr>
    </w:p>
    <w:p w:rsidR="00114A1F" w:rsidRPr="00EA24E5" w:rsidRDefault="00114A1F" w:rsidP="00114A1F">
      <w:pPr>
        <w:numPr>
          <w:ilvl w:val="0"/>
          <w:numId w:val="7"/>
        </w:numPr>
        <w:spacing w:after="0"/>
        <w:rPr>
          <w:rFonts w:eastAsia="Times New Roman" w:cs="Times New Roman"/>
          <w:szCs w:val="24"/>
        </w:rPr>
      </w:pPr>
      <w:r w:rsidRPr="00EA24E5">
        <w:rPr>
          <w:rFonts w:eastAsia="Times New Roman" w:cs="Times New Roman"/>
          <w:szCs w:val="24"/>
        </w:rPr>
        <w:t xml:space="preserve">Weldon Cooper Center’s estimates of school-age population (5- to 19-year-olds) as of July 1, </w:t>
      </w:r>
      <w:r w:rsidR="00DC72DB" w:rsidRPr="00EA24E5">
        <w:rPr>
          <w:rFonts w:eastAsia="Times New Roman" w:cs="Times New Roman"/>
          <w:szCs w:val="24"/>
        </w:rPr>
        <w:t>201</w:t>
      </w:r>
      <w:r w:rsidR="00EA24E5" w:rsidRPr="00EA24E5">
        <w:rPr>
          <w:rFonts w:eastAsia="Times New Roman" w:cs="Times New Roman"/>
          <w:szCs w:val="24"/>
        </w:rPr>
        <w:t>9</w:t>
      </w:r>
      <w:r w:rsidR="00890F13" w:rsidRPr="00EA24E5">
        <w:rPr>
          <w:rFonts w:eastAsia="Times New Roman" w:cs="Times New Roman"/>
          <w:szCs w:val="24"/>
        </w:rPr>
        <w:t>,</w:t>
      </w:r>
      <w:r w:rsidRPr="00EA24E5">
        <w:rPr>
          <w:rFonts w:eastAsia="Times New Roman" w:cs="Times New Roman"/>
          <w:szCs w:val="24"/>
        </w:rPr>
        <w:t xml:space="preserve"> utilize U.S. Census Bureau population estimates as of July 1, </w:t>
      </w:r>
      <w:r w:rsidR="00EA24E5" w:rsidRPr="00EA24E5">
        <w:rPr>
          <w:rFonts w:eastAsia="Times New Roman" w:cs="Times New Roman"/>
          <w:szCs w:val="24"/>
        </w:rPr>
        <w:t>2019</w:t>
      </w:r>
      <w:r w:rsidRPr="00EA24E5">
        <w:rPr>
          <w:rFonts w:eastAsia="Times New Roman" w:cs="Times New Roman"/>
          <w:szCs w:val="24"/>
        </w:rPr>
        <w:t xml:space="preserve">, with adjustments as required by the </w:t>
      </w:r>
      <w:r w:rsidRPr="00EA24E5">
        <w:rPr>
          <w:rFonts w:eastAsia="Times New Roman" w:cs="Times New Roman"/>
          <w:i/>
          <w:szCs w:val="24"/>
        </w:rPr>
        <w:t>Code of Virginia,</w:t>
      </w:r>
      <w:r w:rsidRPr="00EA24E5">
        <w:rPr>
          <w:rFonts w:eastAsia="Times New Roman" w:cs="Times New Roman"/>
          <w:szCs w:val="24"/>
        </w:rPr>
        <w:t xml:space="preserve"> to account for 18- and 19-year-olds living at a college or on a military base outside the locality where t</w:t>
      </w:r>
      <w:r w:rsidR="007B6700">
        <w:rPr>
          <w:rFonts w:eastAsia="Times New Roman" w:cs="Times New Roman"/>
          <w:szCs w:val="24"/>
        </w:rPr>
        <w:t xml:space="preserve">heir parents/guardians reside. </w:t>
      </w:r>
      <w:r w:rsidRPr="00EA24E5">
        <w:rPr>
          <w:rFonts w:eastAsia="Times New Roman" w:cs="Times New Roman"/>
          <w:szCs w:val="24"/>
        </w:rPr>
        <w:t>Pursuant to Section 58.1-638 D., the Virginia Department of Education added the number of special education students (ages 2 through 4 and 20 through 21) as reported on the December 1, 201</w:t>
      </w:r>
      <w:r w:rsidR="00EA24E5" w:rsidRPr="00EA24E5">
        <w:rPr>
          <w:rFonts w:eastAsia="Times New Roman" w:cs="Times New Roman"/>
          <w:szCs w:val="24"/>
        </w:rPr>
        <w:t>9</w:t>
      </w:r>
      <w:r w:rsidR="00890F13" w:rsidRPr="00EA24E5">
        <w:rPr>
          <w:rFonts w:eastAsia="Times New Roman" w:cs="Times New Roman"/>
          <w:szCs w:val="24"/>
        </w:rPr>
        <w:t>,</w:t>
      </w:r>
      <w:r w:rsidRPr="00EA24E5">
        <w:rPr>
          <w:rFonts w:eastAsia="Times New Roman" w:cs="Times New Roman"/>
          <w:szCs w:val="24"/>
        </w:rPr>
        <w:t xml:space="preserve"> special education child count to the Wel</w:t>
      </w:r>
      <w:r w:rsidR="007B6700">
        <w:rPr>
          <w:rFonts w:eastAsia="Times New Roman" w:cs="Times New Roman"/>
          <w:szCs w:val="24"/>
        </w:rPr>
        <w:t xml:space="preserve">don Cooper Center’s estimates. </w:t>
      </w:r>
      <w:r w:rsidRPr="00EA24E5">
        <w:rPr>
          <w:rFonts w:eastAsia="Times New Roman" w:cs="Times New Roman"/>
          <w:szCs w:val="24"/>
        </w:rPr>
        <w:t>The Weldon Cooper Center provides a full description of their estimation methodology at the webpage referenced above.</w:t>
      </w:r>
    </w:p>
    <w:p w:rsidR="00114A1F" w:rsidRPr="00EA43B9" w:rsidRDefault="00114A1F" w:rsidP="00114A1F">
      <w:pPr>
        <w:keepNext/>
        <w:numPr>
          <w:ilvl w:val="0"/>
          <w:numId w:val="7"/>
        </w:numPr>
        <w:spacing w:after="0"/>
        <w:rPr>
          <w:rFonts w:eastAsia="Times New Roman" w:cs="Times New Roman"/>
          <w:b/>
          <w:szCs w:val="24"/>
          <w:highlight w:val="yellow"/>
        </w:rPr>
      </w:pPr>
    </w:p>
    <w:p w:rsidR="00114A1F" w:rsidRPr="00471181" w:rsidRDefault="00114A1F" w:rsidP="00114A1F">
      <w:pPr>
        <w:keepNext/>
        <w:numPr>
          <w:ilvl w:val="0"/>
          <w:numId w:val="7"/>
        </w:numPr>
        <w:spacing w:after="0"/>
        <w:rPr>
          <w:rFonts w:eastAsia="Times New Roman" w:cs="Times New Roman"/>
          <w:szCs w:val="24"/>
        </w:rPr>
      </w:pPr>
      <w:r w:rsidRPr="00471181">
        <w:rPr>
          <w:rFonts w:eastAsia="Times New Roman" w:cs="Times New Roman"/>
          <w:b/>
          <w:szCs w:val="24"/>
        </w:rPr>
        <w:t>Weldon Cooper Center Review Process</w:t>
      </w:r>
    </w:p>
    <w:p w:rsidR="00DC72DB" w:rsidRPr="00471181" w:rsidRDefault="00DC72DB" w:rsidP="00114A1F">
      <w:pPr>
        <w:numPr>
          <w:ilvl w:val="0"/>
          <w:numId w:val="7"/>
        </w:numPr>
        <w:spacing w:before="100" w:beforeAutospacing="1" w:after="100" w:afterAutospacing="1"/>
        <w:rPr>
          <w:rFonts w:eastAsia="Times New Roman" w:cs="Times New Roman"/>
          <w:szCs w:val="24"/>
        </w:rPr>
      </w:pPr>
    </w:p>
    <w:p w:rsidR="00114A1F" w:rsidRPr="00471181" w:rsidRDefault="00114A1F" w:rsidP="00114A1F">
      <w:pPr>
        <w:numPr>
          <w:ilvl w:val="0"/>
          <w:numId w:val="7"/>
        </w:numPr>
        <w:spacing w:before="100" w:beforeAutospacing="1" w:after="100" w:afterAutospacing="1"/>
        <w:rPr>
          <w:rFonts w:eastAsia="Times New Roman" w:cs="Times New Roman"/>
          <w:szCs w:val="24"/>
        </w:rPr>
      </w:pPr>
      <w:r w:rsidRPr="00471181">
        <w:rPr>
          <w:rFonts w:eastAsia="Times New Roman" w:cs="Times New Roman"/>
          <w:szCs w:val="24"/>
        </w:rPr>
        <w:t>The July 1, 201</w:t>
      </w:r>
      <w:r w:rsidR="00471181" w:rsidRPr="00471181">
        <w:rPr>
          <w:rFonts w:eastAsia="Times New Roman" w:cs="Times New Roman"/>
          <w:szCs w:val="24"/>
        </w:rPr>
        <w:t>9</w:t>
      </w:r>
      <w:r w:rsidR="00890F13" w:rsidRPr="00471181">
        <w:rPr>
          <w:rFonts w:eastAsia="Times New Roman" w:cs="Times New Roman"/>
          <w:szCs w:val="24"/>
        </w:rPr>
        <w:t>,</w:t>
      </w:r>
      <w:r w:rsidRPr="00471181">
        <w:rPr>
          <w:rFonts w:eastAsia="Times New Roman" w:cs="Times New Roman"/>
          <w:szCs w:val="24"/>
        </w:rPr>
        <w:t xml:space="preserve"> school-age population estimates are open to review and</w:t>
      </w:r>
      <w:r w:rsidR="00471181" w:rsidRPr="00471181">
        <w:rPr>
          <w:rFonts w:eastAsia="Times New Roman" w:cs="Times New Roman"/>
          <w:szCs w:val="24"/>
        </w:rPr>
        <w:t xml:space="preserve"> inquiry until September 30, 2020</w:t>
      </w:r>
      <w:r w:rsidRPr="00471181">
        <w:rPr>
          <w:rFonts w:eastAsia="Times New Roman" w:cs="Times New Roman"/>
          <w:szCs w:val="24"/>
        </w:rPr>
        <w:t>, at which time they become final. School divisions and localities may inquire about a revision to their estimates provided certain criteria as established by th</w:t>
      </w:r>
      <w:r w:rsidR="007B6700">
        <w:rPr>
          <w:rFonts w:eastAsia="Times New Roman" w:cs="Times New Roman"/>
          <w:szCs w:val="24"/>
        </w:rPr>
        <w:t>e Weldon Cooper Center are met.</w:t>
      </w:r>
    </w:p>
    <w:p w:rsidR="00DC72DB" w:rsidRPr="00EA43B9" w:rsidRDefault="00DC72DB" w:rsidP="00114A1F">
      <w:pPr>
        <w:numPr>
          <w:ilvl w:val="0"/>
          <w:numId w:val="7"/>
        </w:numPr>
        <w:spacing w:before="100" w:beforeAutospacing="1" w:after="100" w:afterAutospacing="1"/>
        <w:rPr>
          <w:rFonts w:eastAsia="Times New Roman" w:cs="Times New Roman"/>
          <w:szCs w:val="24"/>
          <w:highlight w:val="yellow"/>
        </w:rPr>
      </w:pPr>
    </w:p>
    <w:p w:rsidR="00114A1F" w:rsidRPr="00471181" w:rsidRDefault="00114A1F" w:rsidP="00114A1F">
      <w:pPr>
        <w:numPr>
          <w:ilvl w:val="0"/>
          <w:numId w:val="7"/>
        </w:numPr>
        <w:spacing w:before="100" w:beforeAutospacing="1" w:after="100" w:afterAutospacing="1"/>
        <w:rPr>
          <w:rFonts w:eastAsia="Times New Roman" w:cs="Times New Roman"/>
          <w:szCs w:val="24"/>
        </w:rPr>
      </w:pPr>
      <w:r w:rsidRPr="00471181">
        <w:rPr>
          <w:rFonts w:eastAsia="Times New Roman" w:cs="Times New Roman"/>
          <w:szCs w:val="24"/>
        </w:rPr>
        <w:t xml:space="preserve">To participate in the review process, division and locality representatives should review their school-age population estimates, the methodology documents, and the Review/Inquiry Process description, available on the </w:t>
      </w:r>
      <w:hyperlink r:id="rId14" w:history="1">
        <w:r w:rsidRPr="00471181">
          <w:rPr>
            <w:rFonts w:eastAsia="Times New Roman" w:cs="Times New Roman"/>
            <w:color w:val="0000FF"/>
            <w:szCs w:val="24"/>
            <w:u w:val="single"/>
          </w:rPr>
          <w:t>Weldon Co</w:t>
        </w:r>
        <w:r w:rsidRPr="00471181">
          <w:rPr>
            <w:rFonts w:eastAsia="Times New Roman" w:cs="Times New Roman"/>
            <w:color w:val="0000FF"/>
            <w:szCs w:val="24"/>
            <w:u w:val="single"/>
          </w:rPr>
          <w:t>o</w:t>
        </w:r>
        <w:r w:rsidRPr="00471181">
          <w:rPr>
            <w:rFonts w:eastAsia="Times New Roman" w:cs="Times New Roman"/>
            <w:color w:val="0000FF"/>
            <w:szCs w:val="24"/>
            <w:u w:val="single"/>
          </w:rPr>
          <w:t>per Center website</w:t>
        </w:r>
      </w:hyperlink>
      <w:r w:rsidRPr="00471181">
        <w:rPr>
          <w:rFonts w:eastAsia="Times New Roman" w:cs="Times New Roman"/>
          <w:szCs w:val="24"/>
        </w:rPr>
        <w:t>.</w:t>
      </w:r>
    </w:p>
    <w:p w:rsidR="00DC72DB" w:rsidRPr="00EA43B9" w:rsidRDefault="00DC72DB" w:rsidP="00114A1F">
      <w:pPr>
        <w:numPr>
          <w:ilvl w:val="0"/>
          <w:numId w:val="7"/>
        </w:numPr>
        <w:spacing w:after="0"/>
        <w:rPr>
          <w:rFonts w:eastAsia="Times New Roman" w:cs="Times New Roman"/>
          <w:szCs w:val="24"/>
          <w:highlight w:val="yellow"/>
        </w:rPr>
      </w:pPr>
    </w:p>
    <w:p w:rsidR="00114A1F" w:rsidRPr="00471181" w:rsidRDefault="00114A1F" w:rsidP="00114A1F">
      <w:pPr>
        <w:numPr>
          <w:ilvl w:val="0"/>
          <w:numId w:val="7"/>
        </w:numPr>
        <w:spacing w:after="0"/>
        <w:rPr>
          <w:rFonts w:eastAsia="Times New Roman" w:cs="Times New Roman"/>
          <w:szCs w:val="24"/>
        </w:rPr>
      </w:pPr>
      <w:r w:rsidRPr="00471181">
        <w:rPr>
          <w:rFonts w:eastAsia="Times New Roman" w:cs="Times New Roman"/>
          <w:szCs w:val="24"/>
        </w:rPr>
        <w:t xml:space="preserve">School division and locality representatives are urged to initiate the review and inquiry process (if any of the conditions for revision are met) by contacting the Weldon Cooper Center as soon as possible so that additional considerations can be submitted by the conclusion of </w:t>
      </w:r>
      <w:r w:rsidR="00471181" w:rsidRPr="00471181">
        <w:rPr>
          <w:rFonts w:eastAsia="Times New Roman" w:cs="Times New Roman"/>
          <w:szCs w:val="24"/>
        </w:rPr>
        <w:t>the process on September 30, 2020</w:t>
      </w:r>
      <w:r w:rsidR="007B6700">
        <w:rPr>
          <w:rFonts w:eastAsia="Times New Roman" w:cs="Times New Roman"/>
          <w:szCs w:val="24"/>
        </w:rPr>
        <w:t xml:space="preserve">. </w:t>
      </w:r>
      <w:r w:rsidRPr="00471181">
        <w:rPr>
          <w:rFonts w:eastAsia="Times New Roman" w:cs="Times New Roman"/>
          <w:szCs w:val="24"/>
        </w:rPr>
        <w:t>After this date, the estimates will be considered final</w:t>
      </w:r>
      <w:r w:rsidR="00471181" w:rsidRPr="00471181">
        <w:rPr>
          <w:rFonts w:eastAsia="Times New Roman" w:cs="Times New Roman"/>
          <w:szCs w:val="24"/>
        </w:rPr>
        <w:t xml:space="preserve"> and will be used in FY</w:t>
      </w:r>
      <w:r w:rsidRPr="00471181">
        <w:rPr>
          <w:rFonts w:eastAsia="Times New Roman" w:cs="Times New Roman"/>
          <w:szCs w:val="24"/>
        </w:rPr>
        <w:t xml:space="preserve"> 202</w:t>
      </w:r>
      <w:r w:rsidR="00471181" w:rsidRPr="00471181">
        <w:rPr>
          <w:rFonts w:eastAsia="Times New Roman" w:cs="Times New Roman"/>
          <w:szCs w:val="24"/>
        </w:rPr>
        <w:t>2</w:t>
      </w:r>
      <w:r w:rsidRPr="00471181">
        <w:rPr>
          <w:rFonts w:eastAsia="Times New Roman" w:cs="Times New Roman"/>
          <w:szCs w:val="24"/>
        </w:rPr>
        <w:t xml:space="preserve"> to allocate to divisions the one and one-eighth percent state sales and use tax dedicated to public education.</w:t>
      </w:r>
    </w:p>
    <w:p w:rsidR="00114A1F" w:rsidRPr="00471181" w:rsidRDefault="00114A1F" w:rsidP="00114A1F">
      <w:pPr>
        <w:numPr>
          <w:ilvl w:val="0"/>
          <w:numId w:val="7"/>
        </w:numPr>
        <w:spacing w:after="0"/>
        <w:rPr>
          <w:rFonts w:eastAsia="Times New Roman" w:cs="Times New Roman"/>
          <w:szCs w:val="24"/>
        </w:rPr>
      </w:pPr>
    </w:p>
    <w:p w:rsidR="00114A1F" w:rsidRPr="00471181" w:rsidRDefault="00114A1F" w:rsidP="00114A1F">
      <w:pPr>
        <w:numPr>
          <w:ilvl w:val="0"/>
          <w:numId w:val="7"/>
        </w:numPr>
        <w:spacing w:after="0"/>
        <w:rPr>
          <w:rFonts w:eastAsia="Times New Roman" w:cs="Times New Roman"/>
          <w:szCs w:val="24"/>
        </w:rPr>
      </w:pPr>
      <w:r w:rsidRPr="00471181">
        <w:rPr>
          <w:rFonts w:eastAsia="Times New Roman" w:cs="Times New Roman"/>
          <w:szCs w:val="24"/>
        </w:rPr>
        <w:t>The Weldon Cooper Center contact for questions is:</w:t>
      </w:r>
    </w:p>
    <w:p w:rsidR="00114A1F" w:rsidRPr="00027FA7" w:rsidRDefault="00114A1F" w:rsidP="00114A1F">
      <w:pPr>
        <w:numPr>
          <w:ilvl w:val="0"/>
          <w:numId w:val="7"/>
        </w:numPr>
        <w:spacing w:after="0"/>
        <w:rPr>
          <w:rFonts w:eastAsia="Times New Roman" w:cs="Times New Roman"/>
          <w:szCs w:val="24"/>
        </w:rPr>
      </w:pPr>
    </w:p>
    <w:p w:rsidR="00114A1F" w:rsidRPr="00027FA7" w:rsidRDefault="00114A1F" w:rsidP="00114A1F">
      <w:pPr>
        <w:numPr>
          <w:ilvl w:val="0"/>
          <w:numId w:val="7"/>
        </w:numPr>
        <w:spacing w:after="0"/>
        <w:rPr>
          <w:rFonts w:eastAsia="Times New Roman" w:cs="Times New Roman"/>
          <w:szCs w:val="24"/>
        </w:rPr>
      </w:pPr>
      <w:r w:rsidRPr="00027FA7">
        <w:rPr>
          <w:rFonts w:eastAsia="Times New Roman" w:cs="Times New Roman"/>
          <w:szCs w:val="24"/>
        </w:rPr>
        <w:t>Hamilton Lombard, Research Analyst</w:t>
      </w:r>
    </w:p>
    <w:p w:rsidR="00114A1F" w:rsidRPr="00027FA7" w:rsidRDefault="00114A1F" w:rsidP="00114A1F">
      <w:pPr>
        <w:numPr>
          <w:ilvl w:val="0"/>
          <w:numId w:val="7"/>
        </w:numPr>
        <w:spacing w:after="0"/>
        <w:rPr>
          <w:rFonts w:eastAsia="Times New Roman" w:cs="Times New Roman"/>
          <w:szCs w:val="24"/>
        </w:rPr>
      </w:pPr>
      <w:r w:rsidRPr="00027FA7">
        <w:rPr>
          <w:rFonts w:eastAsia="Times New Roman" w:cs="Times New Roman"/>
          <w:szCs w:val="24"/>
        </w:rPr>
        <w:t>Weldon Cooper Center for Public Service</w:t>
      </w:r>
    </w:p>
    <w:p w:rsidR="00114A1F" w:rsidRPr="00027FA7" w:rsidRDefault="00114A1F" w:rsidP="00114A1F">
      <w:pPr>
        <w:numPr>
          <w:ilvl w:val="0"/>
          <w:numId w:val="7"/>
        </w:numPr>
        <w:spacing w:after="0"/>
        <w:rPr>
          <w:rFonts w:eastAsia="Times New Roman" w:cs="Times New Roman"/>
          <w:szCs w:val="24"/>
        </w:rPr>
      </w:pPr>
      <w:r w:rsidRPr="00027FA7">
        <w:rPr>
          <w:rFonts w:eastAsia="Times New Roman" w:cs="Times New Roman"/>
          <w:szCs w:val="24"/>
        </w:rPr>
        <w:t>University of Virginia</w:t>
      </w:r>
    </w:p>
    <w:p w:rsidR="00114A1F" w:rsidRPr="00027FA7" w:rsidRDefault="00114A1F" w:rsidP="00114A1F">
      <w:pPr>
        <w:numPr>
          <w:ilvl w:val="0"/>
          <w:numId w:val="7"/>
        </w:numPr>
        <w:spacing w:after="0"/>
        <w:rPr>
          <w:rFonts w:eastAsia="Times New Roman" w:cs="Times New Roman"/>
          <w:szCs w:val="24"/>
        </w:rPr>
      </w:pPr>
      <w:r w:rsidRPr="00027FA7">
        <w:rPr>
          <w:rFonts w:eastAsia="Times New Roman" w:cs="Times New Roman"/>
          <w:szCs w:val="24"/>
        </w:rPr>
        <w:t>434-982-5698</w:t>
      </w:r>
    </w:p>
    <w:p w:rsidR="00114A1F" w:rsidRPr="00027FA7" w:rsidRDefault="00114A1F" w:rsidP="00114A1F">
      <w:pPr>
        <w:numPr>
          <w:ilvl w:val="0"/>
          <w:numId w:val="7"/>
        </w:numPr>
        <w:spacing w:after="0"/>
        <w:rPr>
          <w:rFonts w:eastAsia="Times New Roman" w:cs="Times New Roman"/>
          <w:szCs w:val="24"/>
        </w:rPr>
      </w:pPr>
      <w:r w:rsidRPr="00027FA7">
        <w:rPr>
          <w:rFonts w:eastAsia="Times New Roman" w:cs="Times New Roman"/>
          <w:szCs w:val="24"/>
        </w:rPr>
        <w:t xml:space="preserve">email: </w:t>
      </w:r>
      <w:hyperlink r:id="rId15" w:history="1">
        <w:r w:rsidRPr="00027FA7">
          <w:rPr>
            <w:rFonts w:eastAsia="Times New Roman" w:cs="Times New Roman"/>
            <w:color w:val="0000FF"/>
            <w:szCs w:val="24"/>
            <w:u w:val="single"/>
          </w:rPr>
          <w:t>hamilton.lombard@virginia.edu</w:t>
        </w:r>
      </w:hyperlink>
    </w:p>
    <w:p w:rsidR="00114A1F" w:rsidRPr="00EA43B9" w:rsidRDefault="00114A1F" w:rsidP="00114A1F">
      <w:pPr>
        <w:numPr>
          <w:ilvl w:val="0"/>
          <w:numId w:val="7"/>
        </w:numPr>
        <w:spacing w:after="0"/>
        <w:rPr>
          <w:rFonts w:eastAsia="Times New Roman" w:cs="Times New Roman"/>
          <w:szCs w:val="24"/>
          <w:highlight w:val="yellow"/>
        </w:rPr>
      </w:pPr>
    </w:p>
    <w:p w:rsidR="00114A1F" w:rsidRPr="00471181" w:rsidRDefault="00114A1F" w:rsidP="00114A1F">
      <w:pPr>
        <w:numPr>
          <w:ilvl w:val="0"/>
          <w:numId w:val="7"/>
        </w:numPr>
        <w:spacing w:after="0"/>
        <w:rPr>
          <w:rFonts w:eastAsia="Times New Roman" w:cs="Times New Roman"/>
          <w:szCs w:val="24"/>
        </w:rPr>
      </w:pPr>
      <w:r w:rsidRPr="00471181">
        <w:rPr>
          <w:rFonts w:eastAsia="Times New Roman" w:cs="Times New Roman"/>
          <w:szCs w:val="24"/>
        </w:rPr>
        <w:lastRenderedPageBreak/>
        <w:t>Please carefully review the proposed estimates of your school-age population and keep in mind the end of the revi</w:t>
      </w:r>
      <w:r w:rsidR="00471181" w:rsidRPr="00471181">
        <w:rPr>
          <w:rFonts w:eastAsia="Times New Roman" w:cs="Times New Roman"/>
          <w:szCs w:val="24"/>
        </w:rPr>
        <w:t>ew process on September 30, 2020</w:t>
      </w:r>
      <w:r w:rsidRPr="00471181">
        <w:rPr>
          <w:rFonts w:eastAsia="Times New Roman" w:cs="Times New Roman"/>
          <w:szCs w:val="24"/>
        </w:rPr>
        <w:t>, at which time the estimates become final.</w:t>
      </w:r>
    </w:p>
    <w:p w:rsidR="00114A1F" w:rsidRPr="00471181" w:rsidRDefault="00114A1F" w:rsidP="00114A1F">
      <w:pPr>
        <w:numPr>
          <w:ilvl w:val="0"/>
          <w:numId w:val="7"/>
        </w:numPr>
        <w:spacing w:after="0"/>
        <w:rPr>
          <w:rFonts w:eastAsia="Times New Roman" w:cs="Times New Roman"/>
          <w:szCs w:val="24"/>
        </w:rPr>
      </w:pPr>
    </w:p>
    <w:p w:rsidR="00114A1F" w:rsidRPr="00471181" w:rsidRDefault="00114A1F" w:rsidP="00114A1F">
      <w:pPr>
        <w:spacing w:after="0"/>
        <w:rPr>
          <w:rFonts w:eastAsia="Times New Roman" w:cs="Times New Roman"/>
          <w:szCs w:val="24"/>
        </w:rPr>
      </w:pPr>
      <w:r w:rsidRPr="00471181">
        <w:rPr>
          <w:rFonts w:eastAsia="Times New Roman" w:cs="Times New Roman"/>
          <w:szCs w:val="24"/>
        </w:rPr>
        <w:t>JFL/eml</w:t>
      </w:r>
    </w:p>
    <w:p w:rsidR="00114A1F" w:rsidRPr="00471181" w:rsidRDefault="00114A1F" w:rsidP="00114A1F">
      <w:pPr>
        <w:spacing w:after="0"/>
        <w:rPr>
          <w:rFonts w:eastAsia="Times New Roman" w:cs="Times New Roman"/>
          <w:szCs w:val="24"/>
        </w:rPr>
      </w:pPr>
    </w:p>
    <w:p w:rsidR="00114A1F" w:rsidRPr="00471181" w:rsidRDefault="00114A1F" w:rsidP="00114A1F">
      <w:pPr>
        <w:spacing w:after="0"/>
        <w:rPr>
          <w:rFonts w:eastAsia="Times New Roman" w:cs="Times New Roman"/>
          <w:szCs w:val="24"/>
        </w:rPr>
      </w:pPr>
      <w:r w:rsidRPr="00471181">
        <w:rPr>
          <w:rFonts w:eastAsia="Times New Roman" w:cs="Times New Roman"/>
          <w:szCs w:val="24"/>
        </w:rPr>
        <w:t>Attachment</w:t>
      </w:r>
    </w:p>
    <w:p w:rsidR="00114A1F" w:rsidRPr="00EA43B9" w:rsidRDefault="00114A1F" w:rsidP="00114A1F">
      <w:pPr>
        <w:spacing w:after="0"/>
        <w:rPr>
          <w:rFonts w:eastAsia="Times New Roman" w:cs="Times New Roman"/>
          <w:szCs w:val="24"/>
          <w:highlight w:val="yellow"/>
        </w:rPr>
      </w:pPr>
    </w:p>
    <w:p w:rsidR="00114A1F" w:rsidRPr="00114A1F" w:rsidRDefault="00114A1F" w:rsidP="00114A1F">
      <w:pPr>
        <w:spacing w:after="0"/>
        <w:rPr>
          <w:rFonts w:eastAsia="Times New Roman" w:cs="Times New Roman"/>
          <w:szCs w:val="24"/>
        </w:rPr>
      </w:pPr>
      <w:r w:rsidRPr="003A5C16">
        <w:rPr>
          <w:rFonts w:eastAsia="Times New Roman" w:cs="Times New Roman"/>
          <w:szCs w:val="24"/>
        </w:rPr>
        <w:t xml:space="preserve">A: </w:t>
      </w:r>
      <w:hyperlink r:id="rId16" w:history="1">
        <w:r w:rsidR="00471181" w:rsidRPr="003A5C16">
          <w:rPr>
            <w:rFonts w:eastAsia="Times New Roman" w:cs="Times New Roman"/>
            <w:color w:val="0000FF"/>
            <w:szCs w:val="24"/>
            <w:u w:val="single"/>
          </w:rPr>
          <w:t>School-Age Populat</w:t>
        </w:r>
        <w:r w:rsidR="00471181" w:rsidRPr="003A5C16">
          <w:rPr>
            <w:rFonts w:eastAsia="Times New Roman" w:cs="Times New Roman"/>
            <w:color w:val="0000FF"/>
            <w:szCs w:val="24"/>
            <w:u w:val="single"/>
          </w:rPr>
          <w:t>i</w:t>
        </w:r>
        <w:r w:rsidR="00471181" w:rsidRPr="003A5C16">
          <w:rPr>
            <w:rFonts w:eastAsia="Times New Roman" w:cs="Times New Roman"/>
            <w:color w:val="0000FF"/>
            <w:szCs w:val="24"/>
            <w:u w:val="single"/>
          </w:rPr>
          <w:t>on Estimates – Total and Percent Change 2018 to 2019 (XLS)</w:t>
        </w:r>
      </w:hyperlink>
    </w:p>
    <w:p w:rsidR="008C4A46" w:rsidRPr="002F2AF8" w:rsidRDefault="008C4A46" w:rsidP="00114A1F">
      <w:pPr>
        <w:spacing w:after="0"/>
        <w:rPr>
          <w:color w:val="000000"/>
          <w:szCs w:val="24"/>
        </w:rPr>
      </w:pP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46A" w:rsidRDefault="002A646A" w:rsidP="00B25322">
      <w:pPr>
        <w:spacing w:after="0" w:line="240" w:lineRule="auto"/>
      </w:pPr>
      <w:r>
        <w:separator/>
      </w:r>
    </w:p>
  </w:endnote>
  <w:endnote w:type="continuationSeparator" w:id="0">
    <w:p w:rsidR="002A646A" w:rsidRDefault="002A646A"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46A" w:rsidRDefault="002A646A" w:rsidP="00B25322">
      <w:pPr>
        <w:spacing w:after="0" w:line="240" w:lineRule="auto"/>
      </w:pPr>
      <w:r>
        <w:separator/>
      </w:r>
    </w:p>
  </w:footnote>
  <w:footnote w:type="continuationSeparator" w:id="0">
    <w:p w:rsidR="002A646A" w:rsidRDefault="002A646A"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E340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7A04AE"/>
    <w:multiLevelType w:val="hybridMultilevel"/>
    <w:tmpl w:val="934099A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7402D70"/>
    <w:multiLevelType w:val="hybridMultilevel"/>
    <w:tmpl w:val="493261EE"/>
    <w:lvl w:ilvl="0" w:tplc="608441DC">
      <w:start w:val="1"/>
      <w:numFmt w:val="decimal"/>
      <w:lvlText w:val="%1."/>
      <w:lvlJc w:val="left"/>
      <w:pPr>
        <w:tabs>
          <w:tab w:val="num" w:pos="1260"/>
        </w:tabs>
        <w:ind w:left="1260" w:hanging="360"/>
      </w:pPr>
      <w:rPr>
        <w:rFonts w:ascii="Times New Roman" w:hAnsi="Times New Roman" w:cs="Times New Roman" w:hint="default"/>
        <w:b w:val="0"/>
        <w:color w:val="auto"/>
      </w:rPr>
    </w:lvl>
    <w:lvl w:ilvl="1" w:tplc="32228D4C">
      <w:start w:val="1"/>
      <w:numFmt w:val="lowerLetter"/>
      <w:lvlText w:val="%2."/>
      <w:lvlJc w:val="left"/>
      <w:pPr>
        <w:tabs>
          <w:tab w:val="num" w:pos="1980"/>
        </w:tabs>
        <w:ind w:left="1980" w:hanging="360"/>
      </w:pPr>
      <w:rPr>
        <w:rFonts w:hint="default"/>
      </w:r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50CE2C3F"/>
    <w:multiLevelType w:val="hybridMultilevel"/>
    <w:tmpl w:val="2B3891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1A1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66F0DCC"/>
    <w:multiLevelType w:val="hybridMultilevel"/>
    <w:tmpl w:val="584A801E"/>
    <w:lvl w:ilvl="0" w:tplc="77BE40B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27FA7"/>
    <w:rsid w:val="000428A0"/>
    <w:rsid w:val="0004295C"/>
    <w:rsid w:val="00062952"/>
    <w:rsid w:val="00075595"/>
    <w:rsid w:val="000B2306"/>
    <w:rsid w:val="000C1C78"/>
    <w:rsid w:val="000C3A89"/>
    <w:rsid w:val="000E2D83"/>
    <w:rsid w:val="000F0821"/>
    <w:rsid w:val="00114A1F"/>
    <w:rsid w:val="001177FC"/>
    <w:rsid w:val="00125036"/>
    <w:rsid w:val="0013211F"/>
    <w:rsid w:val="00165C9F"/>
    <w:rsid w:val="00167950"/>
    <w:rsid w:val="00197BBD"/>
    <w:rsid w:val="001D00B5"/>
    <w:rsid w:val="001F74FD"/>
    <w:rsid w:val="001F75C5"/>
    <w:rsid w:val="00206571"/>
    <w:rsid w:val="00217460"/>
    <w:rsid w:val="00223595"/>
    <w:rsid w:val="002272ED"/>
    <w:rsid w:val="00227B1E"/>
    <w:rsid w:val="00236D78"/>
    <w:rsid w:val="00266F7D"/>
    <w:rsid w:val="0027145D"/>
    <w:rsid w:val="002A6350"/>
    <w:rsid w:val="002A646A"/>
    <w:rsid w:val="002B3B35"/>
    <w:rsid w:val="002C60B2"/>
    <w:rsid w:val="002D4726"/>
    <w:rsid w:val="002E4FF8"/>
    <w:rsid w:val="002F2AF8"/>
    <w:rsid w:val="002F2DAF"/>
    <w:rsid w:val="00307A65"/>
    <w:rsid w:val="0031177E"/>
    <w:rsid w:val="00316B7E"/>
    <w:rsid w:val="0032292A"/>
    <w:rsid w:val="003238EA"/>
    <w:rsid w:val="00350537"/>
    <w:rsid w:val="0037032F"/>
    <w:rsid w:val="00377BAB"/>
    <w:rsid w:val="003A5C16"/>
    <w:rsid w:val="003B01B2"/>
    <w:rsid w:val="003D0265"/>
    <w:rsid w:val="00400F1B"/>
    <w:rsid w:val="00406FF4"/>
    <w:rsid w:val="00414707"/>
    <w:rsid w:val="004667D2"/>
    <w:rsid w:val="00471181"/>
    <w:rsid w:val="004811BF"/>
    <w:rsid w:val="0048379C"/>
    <w:rsid w:val="004F6547"/>
    <w:rsid w:val="00510E4B"/>
    <w:rsid w:val="00546F24"/>
    <w:rsid w:val="005840A5"/>
    <w:rsid w:val="005D3FF7"/>
    <w:rsid w:val="005E064F"/>
    <w:rsid w:val="005E06EF"/>
    <w:rsid w:val="005E4B01"/>
    <w:rsid w:val="0061490C"/>
    <w:rsid w:val="00625A9B"/>
    <w:rsid w:val="00626181"/>
    <w:rsid w:val="00627037"/>
    <w:rsid w:val="00634DFC"/>
    <w:rsid w:val="00653DCC"/>
    <w:rsid w:val="006C61BB"/>
    <w:rsid w:val="006D7AC4"/>
    <w:rsid w:val="006E02BC"/>
    <w:rsid w:val="00717D25"/>
    <w:rsid w:val="007229D8"/>
    <w:rsid w:val="00726AE8"/>
    <w:rsid w:val="0073236D"/>
    <w:rsid w:val="00732DE7"/>
    <w:rsid w:val="00756255"/>
    <w:rsid w:val="007821AC"/>
    <w:rsid w:val="00793593"/>
    <w:rsid w:val="00794A4F"/>
    <w:rsid w:val="007A73B4"/>
    <w:rsid w:val="007B6700"/>
    <w:rsid w:val="007C0B3F"/>
    <w:rsid w:val="007C3E4E"/>
    <w:rsid w:val="007C3E67"/>
    <w:rsid w:val="008254A9"/>
    <w:rsid w:val="00851C0B"/>
    <w:rsid w:val="008631A7"/>
    <w:rsid w:val="00877765"/>
    <w:rsid w:val="00880983"/>
    <w:rsid w:val="00890F13"/>
    <w:rsid w:val="008A17D2"/>
    <w:rsid w:val="008C4A46"/>
    <w:rsid w:val="00924E18"/>
    <w:rsid w:val="00964119"/>
    <w:rsid w:val="0096428F"/>
    <w:rsid w:val="00977AFA"/>
    <w:rsid w:val="009A7E4E"/>
    <w:rsid w:val="009B51FA"/>
    <w:rsid w:val="009C0588"/>
    <w:rsid w:val="009C7253"/>
    <w:rsid w:val="009D3B8C"/>
    <w:rsid w:val="009E38A6"/>
    <w:rsid w:val="009F4F93"/>
    <w:rsid w:val="00A15E09"/>
    <w:rsid w:val="00A26586"/>
    <w:rsid w:val="00A30BC9"/>
    <w:rsid w:val="00A3144F"/>
    <w:rsid w:val="00A35F9D"/>
    <w:rsid w:val="00A37C80"/>
    <w:rsid w:val="00A51A92"/>
    <w:rsid w:val="00A65EE6"/>
    <w:rsid w:val="00A67B2F"/>
    <w:rsid w:val="00A81436"/>
    <w:rsid w:val="00A92334"/>
    <w:rsid w:val="00A9428D"/>
    <w:rsid w:val="00A97442"/>
    <w:rsid w:val="00AA318B"/>
    <w:rsid w:val="00AA3A3B"/>
    <w:rsid w:val="00AA7067"/>
    <w:rsid w:val="00AB2FDA"/>
    <w:rsid w:val="00AC0D66"/>
    <w:rsid w:val="00AC7F77"/>
    <w:rsid w:val="00AD1BFC"/>
    <w:rsid w:val="00AE65FD"/>
    <w:rsid w:val="00B01E92"/>
    <w:rsid w:val="00B25322"/>
    <w:rsid w:val="00B32454"/>
    <w:rsid w:val="00B35C20"/>
    <w:rsid w:val="00B5705A"/>
    <w:rsid w:val="00B8145D"/>
    <w:rsid w:val="00B8571A"/>
    <w:rsid w:val="00BC1A9C"/>
    <w:rsid w:val="00BE00E6"/>
    <w:rsid w:val="00C00E14"/>
    <w:rsid w:val="00C16451"/>
    <w:rsid w:val="00C23584"/>
    <w:rsid w:val="00C25FA1"/>
    <w:rsid w:val="00C750E9"/>
    <w:rsid w:val="00C830E1"/>
    <w:rsid w:val="00C87717"/>
    <w:rsid w:val="00CA518A"/>
    <w:rsid w:val="00CA70A4"/>
    <w:rsid w:val="00CF0233"/>
    <w:rsid w:val="00CF192A"/>
    <w:rsid w:val="00D25E5A"/>
    <w:rsid w:val="00D33FC5"/>
    <w:rsid w:val="00D47C1F"/>
    <w:rsid w:val="00D534B4"/>
    <w:rsid w:val="00D55B56"/>
    <w:rsid w:val="00D839E8"/>
    <w:rsid w:val="00D9547E"/>
    <w:rsid w:val="00D95780"/>
    <w:rsid w:val="00DA0871"/>
    <w:rsid w:val="00DA14B1"/>
    <w:rsid w:val="00DC72DB"/>
    <w:rsid w:val="00DD2F87"/>
    <w:rsid w:val="00DD368F"/>
    <w:rsid w:val="00DD3B32"/>
    <w:rsid w:val="00DE3418"/>
    <w:rsid w:val="00DE36A1"/>
    <w:rsid w:val="00E03BA5"/>
    <w:rsid w:val="00E12E2F"/>
    <w:rsid w:val="00E174AE"/>
    <w:rsid w:val="00E405E6"/>
    <w:rsid w:val="00E4085F"/>
    <w:rsid w:val="00E40C29"/>
    <w:rsid w:val="00E75FCE"/>
    <w:rsid w:val="00E760E6"/>
    <w:rsid w:val="00E867BA"/>
    <w:rsid w:val="00E97467"/>
    <w:rsid w:val="00EA24E5"/>
    <w:rsid w:val="00EA43B9"/>
    <w:rsid w:val="00EB27C0"/>
    <w:rsid w:val="00ED79E7"/>
    <w:rsid w:val="00F41943"/>
    <w:rsid w:val="00F57FD5"/>
    <w:rsid w:val="00F65A4E"/>
    <w:rsid w:val="00F81813"/>
    <w:rsid w:val="00F913C0"/>
    <w:rsid w:val="00F91D13"/>
    <w:rsid w:val="00FB1B98"/>
    <w:rsid w:val="00FC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F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Title">
    <w:name w:val="Title"/>
    <w:basedOn w:val="Normal"/>
    <w:link w:val="TitleChar"/>
    <w:uiPriority w:val="99"/>
    <w:qFormat/>
    <w:rsid w:val="00732DE7"/>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99"/>
    <w:rsid w:val="00732DE7"/>
    <w:rPr>
      <w:rFonts w:ascii="Cambria" w:eastAsia="Times New Roman" w:hAnsi="Cambria" w:cs="Times New Roman"/>
      <w:b/>
      <w:bCs/>
      <w:kern w:val="28"/>
      <w:sz w:val="32"/>
      <w:szCs w:val="32"/>
      <w:lang w:val="x-none" w:eastAsia="x-none"/>
    </w:rPr>
  </w:style>
  <w:style w:type="paragraph" w:styleId="NormalWeb">
    <w:name w:val="Normal (Web)"/>
    <w:basedOn w:val="Normal"/>
    <w:uiPriority w:val="99"/>
    <w:rsid w:val="00732DE7"/>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C00E14"/>
    <w:rPr>
      <w:color w:val="800080" w:themeColor="followedHyperlink"/>
      <w:u w:val="single"/>
    </w:rPr>
  </w:style>
  <w:style w:type="paragraph" w:styleId="BodyText">
    <w:name w:val="Body Text"/>
    <w:basedOn w:val="Normal"/>
    <w:link w:val="BodyTextChar"/>
    <w:uiPriority w:val="99"/>
    <w:semiHidden/>
    <w:unhideWhenUsed/>
    <w:rsid w:val="003D0265"/>
    <w:pPr>
      <w:spacing w:after="120"/>
    </w:pPr>
  </w:style>
  <w:style w:type="character" w:customStyle="1" w:styleId="BodyTextChar">
    <w:name w:val="Body Text Char"/>
    <w:basedOn w:val="DefaultParagraphFont"/>
    <w:link w:val="BodyText"/>
    <w:uiPriority w:val="99"/>
    <w:semiHidden/>
    <w:rsid w:val="003D026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www.coopercenter.org/demographics/school-age-population-estimat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administrators/superintendents_memos/2019/157-19.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e.virginia.gov/administrators/superintendents_memos/2020/186-20a.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administrators/superintendents_memos/2020/186-20a.xlsx" TargetMode="External"/><Relationship Id="rId5" Type="http://schemas.openxmlformats.org/officeDocument/2006/relationships/webSettings" Target="webSettings.xml"/><Relationship Id="rId15" Type="http://schemas.openxmlformats.org/officeDocument/2006/relationships/hyperlink" Target="mailto:hamilton.lombard@virginia.edu" TargetMode="External"/><Relationship Id="rId10" Type="http://schemas.openxmlformats.org/officeDocument/2006/relationships/hyperlink" Target="https://law.lis.virginia.gov/vacode/title58.1/chapter6/section58.1-638/"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coopercenter.org/demographics/school-age-population-estimates"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35A2C-A7EA-4B9D-86E3-7627A77F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Superintendent's Memo #186-20</vt:lpstr>
    </vt:vector>
  </TitlesOfParts>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#186-20</dc:title>
  <dc:creator/>
  <cp:lastModifiedBy/>
  <cp:revision>1</cp:revision>
  <dcterms:created xsi:type="dcterms:W3CDTF">2020-07-21T20:55:00Z</dcterms:created>
  <dcterms:modified xsi:type="dcterms:W3CDTF">2020-07-21T20:55:00Z</dcterms:modified>
</cp:coreProperties>
</file>