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D13C5" w14:textId="38DE4B42" w:rsidR="006C4F53" w:rsidRPr="006C4F53" w:rsidRDefault="006C4F53" w:rsidP="006C4F53">
      <w:pPr>
        <w:pStyle w:val="Heading1"/>
        <w:tabs>
          <w:tab w:val="left" w:pos="1440"/>
        </w:tabs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C4F53">
        <w:rPr>
          <w:rFonts w:ascii="Times New Roman" w:hAnsi="Times New Roman" w:cs="Times New Roman"/>
          <w:color w:val="auto"/>
          <w:sz w:val="24"/>
          <w:szCs w:val="24"/>
        </w:rPr>
        <w:t>Superintendent’s Memo #</w:t>
      </w:r>
      <w:bookmarkStart w:id="0" w:name="_GoBack"/>
      <w:r w:rsidR="0080563C">
        <w:rPr>
          <w:rFonts w:ascii="Times New Roman" w:hAnsi="Times New Roman" w:cs="Times New Roman"/>
          <w:color w:val="auto"/>
          <w:sz w:val="24"/>
          <w:szCs w:val="24"/>
        </w:rPr>
        <w:t>164</w:t>
      </w:r>
      <w:r w:rsidRPr="006C4F53">
        <w:rPr>
          <w:rFonts w:ascii="Times New Roman" w:hAnsi="Times New Roman" w:cs="Times New Roman"/>
          <w:color w:val="auto"/>
          <w:sz w:val="24"/>
          <w:szCs w:val="24"/>
        </w:rPr>
        <w:t>-20</w:t>
      </w:r>
      <w:bookmarkEnd w:id="0"/>
    </w:p>
    <w:p w14:paraId="46FC48CE" w14:textId="77777777" w:rsidR="006C4F53" w:rsidRDefault="006C4F53" w:rsidP="006C4F53">
      <w:pPr>
        <w:jc w:val="center"/>
      </w:pPr>
      <w:r>
        <w:rPr>
          <w:noProof/>
        </w:rPr>
        <w:drawing>
          <wp:inline distT="0" distB="0" distL="0" distR="0" wp14:anchorId="5781D150" wp14:editId="2A47D908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71C19A65" w14:textId="77777777" w:rsidR="006C4F53" w:rsidRDefault="006C4F53" w:rsidP="00F916F1">
      <w:pPr>
        <w:tabs>
          <w:tab w:val="left" w:pos="1800"/>
        </w:tabs>
        <w:rPr>
          <w:szCs w:val="24"/>
        </w:rPr>
      </w:pPr>
    </w:p>
    <w:p w14:paraId="7E812FDE" w14:textId="6775DE0E" w:rsidR="00252E28" w:rsidRPr="0065396B" w:rsidRDefault="00252E28" w:rsidP="00252E28">
      <w:pPr>
        <w:tabs>
          <w:tab w:val="left" w:pos="1800"/>
        </w:tabs>
        <w:spacing w:after="0" w:line="240" w:lineRule="auto"/>
        <w:rPr>
          <w:szCs w:val="24"/>
        </w:rPr>
      </w:pPr>
      <w:r w:rsidRPr="0065396B">
        <w:rPr>
          <w:szCs w:val="24"/>
        </w:rPr>
        <w:t>DATE:</w:t>
      </w:r>
      <w:r w:rsidRPr="0065396B">
        <w:rPr>
          <w:szCs w:val="24"/>
        </w:rPr>
        <w:tab/>
        <w:t xml:space="preserve">July </w:t>
      </w:r>
      <w:r w:rsidR="0023620A">
        <w:rPr>
          <w:szCs w:val="24"/>
        </w:rPr>
        <w:t>10</w:t>
      </w:r>
      <w:r w:rsidRPr="0065396B">
        <w:rPr>
          <w:szCs w:val="24"/>
        </w:rPr>
        <w:t>, 2020</w:t>
      </w:r>
    </w:p>
    <w:p w14:paraId="3D164B7D" w14:textId="77777777" w:rsidR="00252E28" w:rsidRPr="0065396B" w:rsidRDefault="00252E28" w:rsidP="00252E28">
      <w:pPr>
        <w:tabs>
          <w:tab w:val="left" w:pos="1800"/>
        </w:tabs>
        <w:spacing w:after="0" w:line="240" w:lineRule="auto"/>
        <w:rPr>
          <w:szCs w:val="24"/>
        </w:rPr>
      </w:pPr>
    </w:p>
    <w:p w14:paraId="1B5ACD5C" w14:textId="77777777" w:rsidR="00252E28" w:rsidRPr="0065396B" w:rsidRDefault="00252E28" w:rsidP="00252E28">
      <w:pPr>
        <w:tabs>
          <w:tab w:val="left" w:pos="1800"/>
        </w:tabs>
        <w:spacing w:after="0" w:line="240" w:lineRule="auto"/>
        <w:rPr>
          <w:szCs w:val="24"/>
        </w:rPr>
      </w:pPr>
      <w:r w:rsidRPr="0065396B">
        <w:rPr>
          <w:szCs w:val="24"/>
        </w:rPr>
        <w:t xml:space="preserve">TO: </w:t>
      </w:r>
      <w:r w:rsidRPr="0065396B">
        <w:rPr>
          <w:szCs w:val="24"/>
        </w:rPr>
        <w:tab/>
        <w:t>Division Superintendents</w:t>
      </w:r>
    </w:p>
    <w:p w14:paraId="0584F8D3" w14:textId="77777777" w:rsidR="00252E28" w:rsidRPr="0065396B" w:rsidRDefault="00252E28" w:rsidP="00252E28">
      <w:pPr>
        <w:tabs>
          <w:tab w:val="left" w:pos="1800"/>
        </w:tabs>
        <w:spacing w:after="0" w:line="240" w:lineRule="auto"/>
        <w:rPr>
          <w:szCs w:val="24"/>
        </w:rPr>
      </w:pPr>
    </w:p>
    <w:p w14:paraId="594A652E" w14:textId="77777777" w:rsidR="00252E28" w:rsidRPr="0065396B" w:rsidRDefault="00252E28" w:rsidP="00252E28">
      <w:pPr>
        <w:tabs>
          <w:tab w:val="left" w:pos="1800"/>
        </w:tabs>
        <w:spacing w:after="0" w:line="240" w:lineRule="auto"/>
        <w:rPr>
          <w:szCs w:val="24"/>
        </w:rPr>
      </w:pPr>
      <w:r w:rsidRPr="0065396B">
        <w:rPr>
          <w:szCs w:val="24"/>
        </w:rPr>
        <w:t xml:space="preserve">FROM: </w:t>
      </w:r>
      <w:r w:rsidRPr="0065396B">
        <w:rPr>
          <w:szCs w:val="24"/>
        </w:rPr>
        <w:tab/>
      </w:r>
      <w:r w:rsidRPr="0065396B">
        <w:rPr>
          <w:color w:val="000000"/>
          <w:szCs w:val="24"/>
        </w:rPr>
        <w:t>James F. Lane</w:t>
      </w:r>
      <w:r w:rsidRPr="0065396B">
        <w:rPr>
          <w:szCs w:val="24"/>
        </w:rPr>
        <w:t xml:space="preserve">, </w:t>
      </w:r>
      <w:proofErr w:type="spellStart"/>
      <w:proofErr w:type="gramStart"/>
      <w:r w:rsidRPr="0065396B">
        <w:rPr>
          <w:color w:val="000000"/>
          <w:szCs w:val="24"/>
        </w:rPr>
        <w:t>Ed.D</w:t>
      </w:r>
      <w:proofErr w:type="spellEnd"/>
      <w:r w:rsidRPr="0065396B">
        <w:rPr>
          <w:color w:val="000000"/>
          <w:szCs w:val="24"/>
        </w:rPr>
        <w:t>.,</w:t>
      </w:r>
      <w:proofErr w:type="gramEnd"/>
      <w:r w:rsidRPr="0065396B">
        <w:rPr>
          <w:color w:val="000000"/>
          <w:szCs w:val="24"/>
        </w:rPr>
        <w:t xml:space="preserve"> </w:t>
      </w:r>
      <w:r w:rsidRPr="0065396B">
        <w:rPr>
          <w:szCs w:val="24"/>
        </w:rPr>
        <w:t>Superintendent of Public Instruction</w:t>
      </w:r>
    </w:p>
    <w:p w14:paraId="16188E33" w14:textId="77777777" w:rsidR="00252E28" w:rsidRPr="0065396B" w:rsidRDefault="00252E28" w:rsidP="00252E28">
      <w:pPr>
        <w:tabs>
          <w:tab w:val="left" w:pos="1800"/>
        </w:tabs>
        <w:spacing w:after="0" w:line="240" w:lineRule="auto"/>
        <w:rPr>
          <w:szCs w:val="24"/>
        </w:rPr>
      </w:pPr>
    </w:p>
    <w:p w14:paraId="4713F100" w14:textId="77777777" w:rsidR="00252E28" w:rsidRPr="0065396B" w:rsidRDefault="00252E28" w:rsidP="00252E28">
      <w:pPr>
        <w:pStyle w:val="Heading2"/>
        <w:tabs>
          <w:tab w:val="left" w:pos="1800"/>
        </w:tabs>
        <w:spacing w:after="0" w:line="240" w:lineRule="auto"/>
        <w:ind w:left="1800" w:hanging="1800"/>
        <w:rPr>
          <w:szCs w:val="24"/>
        </w:rPr>
      </w:pPr>
      <w:r w:rsidRPr="0065396B">
        <w:rPr>
          <w:szCs w:val="24"/>
        </w:rPr>
        <w:t xml:space="preserve">SUBJECT: </w:t>
      </w:r>
      <w:r w:rsidRPr="0065396B">
        <w:rPr>
          <w:szCs w:val="24"/>
        </w:rPr>
        <w:tab/>
        <w:t xml:space="preserve">2020 </w:t>
      </w:r>
      <w:r w:rsidRPr="0065396B">
        <w:rPr>
          <w:i/>
          <w:szCs w:val="24"/>
        </w:rPr>
        <w:t>CTE Work-Based Learning Guide</w:t>
      </w:r>
      <w:r w:rsidRPr="0065396B">
        <w:rPr>
          <w:szCs w:val="24"/>
        </w:rPr>
        <w:t xml:space="preserve"> </w:t>
      </w:r>
    </w:p>
    <w:p w14:paraId="631168DC" w14:textId="77777777" w:rsidR="00252E28" w:rsidRPr="0065396B" w:rsidRDefault="00252E28" w:rsidP="00252E28">
      <w:pPr>
        <w:spacing w:after="0" w:line="240" w:lineRule="auto"/>
        <w:rPr>
          <w:szCs w:val="24"/>
        </w:rPr>
      </w:pPr>
    </w:p>
    <w:p w14:paraId="2DF0B449" w14:textId="77777777" w:rsidR="00252E28" w:rsidRDefault="00252E28" w:rsidP="00252E28">
      <w:pPr>
        <w:spacing w:after="0"/>
        <w:rPr>
          <w:rFonts w:cs="Times New Roman"/>
          <w:szCs w:val="24"/>
        </w:rPr>
      </w:pPr>
      <w:bookmarkStart w:id="1" w:name="_Hlk20316625"/>
      <w:r w:rsidRPr="0065396B">
        <w:rPr>
          <w:rFonts w:cs="Times New Roman"/>
          <w:szCs w:val="24"/>
        </w:rPr>
        <w:t xml:space="preserve">During the 2019-2020 school year, </w:t>
      </w:r>
      <w:r w:rsidRPr="0065396B">
        <w:rPr>
          <w:szCs w:val="24"/>
        </w:rPr>
        <w:t xml:space="preserve">the Virginia Department of Education (VDOE) </w:t>
      </w:r>
      <w:r w:rsidRPr="0065396B">
        <w:rPr>
          <w:rFonts w:cs="Times New Roman"/>
          <w:szCs w:val="24"/>
        </w:rPr>
        <w:t xml:space="preserve">conducted </w:t>
      </w:r>
      <w:r>
        <w:rPr>
          <w:rFonts w:cs="Times New Roman"/>
          <w:szCs w:val="24"/>
        </w:rPr>
        <w:t xml:space="preserve">stakeholder </w:t>
      </w:r>
      <w:r w:rsidRPr="0065396B">
        <w:rPr>
          <w:rFonts w:cs="Times New Roman"/>
          <w:szCs w:val="24"/>
        </w:rPr>
        <w:t>meeting</w:t>
      </w:r>
      <w:r>
        <w:rPr>
          <w:rFonts w:cs="Times New Roman"/>
          <w:szCs w:val="24"/>
        </w:rPr>
        <w:t>s</w:t>
      </w:r>
      <w:r w:rsidRPr="0065396B">
        <w:rPr>
          <w:rFonts w:cs="Times New Roman"/>
          <w:szCs w:val="24"/>
        </w:rPr>
        <w:t xml:space="preserve"> to expand work-based learning (WBL) credit opportunities for students. </w:t>
      </w:r>
      <w:r w:rsidRPr="0065396B">
        <w:rPr>
          <w:szCs w:val="24"/>
        </w:rPr>
        <w:t>Through revisions to the guide, students are now offered credit options toward graduation when completing a mentorship or youth registered apprenticeship work experience</w:t>
      </w:r>
      <w:r>
        <w:rPr>
          <w:szCs w:val="24"/>
        </w:rPr>
        <w:t xml:space="preserve"> in addition to cooperative education and internship</w:t>
      </w:r>
      <w:r w:rsidRPr="0065396B">
        <w:rPr>
          <w:szCs w:val="24"/>
        </w:rPr>
        <w:t xml:space="preserve">. </w:t>
      </w:r>
      <w:r>
        <w:rPr>
          <w:szCs w:val="24"/>
        </w:rPr>
        <w:t>Effective July 1, 2020, c</w:t>
      </w:r>
      <w:r w:rsidRPr="0065396B">
        <w:rPr>
          <w:rFonts w:cs="Times New Roman"/>
          <w:szCs w:val="24"/>
        </w:rPr>
        <w:t>ompleting 140 hours of mentorship will earn one</w:t>
      </w:r>
      <w:r>
        <w:rPr>
          <w:rFonts w:cs="Times New Roman"/>
          <w:szCs w:val="24"/>
        </w:rPr>
        <w:t>-</w:t>
      </w:r>
      <w:r w:rsidRPr="0065396B">
        <w:rPr>
          <w:rFonts w:cs="Times New Roman"/>
          <w:szCs w:val="24"/>
        </w:rPr>
        <w:t xml:space="preserve">half of a credit, </w:t>
      </w:r>
      <w:r>
        <w:rPr>
          <w:rFonts w:cs="Times New Roman"/>
          <w:szCs w:val="24"/>
        </w:rPr>
        <w:t>and</w:t>
      </w:r>
      <w:r w:rsidRPr="0065396B">
        <w:rPr>
          <w:rFonts w:cs="Times New Roman"/>
          <w:szCs w:val="24"/>
        </w:rPr>
        <w:t xml:space="preserve"> completing 280 hours of a youth registered apprenticeship will allow students to earn one credit toward graduation in addition to any credit earned through the associated Career and Technical Education (CTE) course.</w:t>
      </w:r>
      <w:r>
        <w:rPr>
          <w:rFonts w:cs="Times New Roman"/>
          <w:szCs w:val="24"/>
        </w:rPr>
        <w:t xml:space="preserve"> </w:t>
      </w:r>
    </w:p>
    <w:p w14:paraId="064131BC" w14:textId="77777777" w:rsidR="00252E28" w:rsidRPr="0065396B" w:rsidRDefault="00252E28" w:rsidP="00252E28">
      <w:pPr>
        <w:spacing w:after="0"/>
        <w:rPr>
          <w:rFonts w:cs="Times New Roman"/>
          <w:szCs w:val="24"/>
        </w:rPr>
      </w:pPr>
    </w:p>
    <w:p w14:paraId="0E1DAB47" w14:textId="6578812B" w:rsidR="00252E28" w:rsidRPr="0065396B" w:rsidRDefault="00252E28" w:rsidP="00252E28">
      <w:pPr>
        <w:rPr>
          <w:rFonts w:cs="Times New Roman"/>
          <w:b/>
          <w:szCs w:val="24"/>
        </w:rPr>
      </w:pPr>
      <w:r w:rsidRPr="0065396B">
        <w:rPr>
          <w:rFonts w:cs="Times New Roman"/>
          <w:szCs w:val="24"/>
        </w:rPr>
        <w:t xml:space="preserve">The revised </w:t>
      </w:r>
      <w:hyperlink r:id="rId6" w:history="1">
        <w:r w:rsidRPr="0080563C">
          <w:rPr>
            <w:rStyle w:val="Hyperlink"/>
            <w:rFonts w:cs="Times New Roman"/>
            <w:i/>
            <w:szCs w:val="24"/>
          </w:rPr>
          <w:t xml:space="preserve">2020 </w:t>
        </w:r>
        <w:r w:rsidRPr="0080563C">
          <w:rPr>
            <w:rStyle w:val="Hyperlink"/>
            <w:i/>
            <w:szCs w:val="24"/>
          </w:rPr>
          <w:t>CTE Work-Based Learning Guide</w:t>
        </w:r>
      </w:hyperlink>
      <w:r w:rsidRPr="0065396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offers expanded flexibility for school divisions in implementing</w:t>
      </w:r>
      <w:r w:rsidRPr="0065396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WBL instructional </w:t>
      </w:r>
      <w:r w:rsidRPr="0065396B">
        <w:rPr>
          <w:rFonts w:cs="Times New Roman"/>
          <w:szCs w:val="24"/>
        </w:rPr>
        <w:t>methods. It also serves to bolster career exploration options for students and recognizes the importance of WBL that occurs in entrepreneurial and school-based settings. Rules have been simplified to open WBL experiences to st</w:t>
      </w:r>
      <w:r>
        <w:rPr>
          <w:rFonts w:cs="Times New Roman"/>
          <w:szCs w:val="24"/>
        </w:rPr>
        <w:t>udents from grades six to twelve. Paid</w:t>
      </w:r>
      <w:r w:rsidRPr="0065396B">
        <w:rPr>
          <w:rFonts w:cs="Times New Roman"/>
          <w:szCs w:val="24"/>
        </w:rPr>
        <w:t xml:space="preserve"> experiences must adhere to age</w:t>
      </w:r>
      <w:r>
        <w:rPr>
          <w:rFonts w:cs="Times New Roman"/>
          <w:szCs w:val="24"/>
        </w:rPr>
        <w:t xml:space="preserve"> and safety</w:t>
      </w:r>
      <w:r w:rsidRPr="0065396B">
        <w:rPr>
          <w:rFonts w:cs="Times New Roman"/>
          <w:szCs w:val="24"/>
        </w:rPr>
        <w:t xml:space="preserve"> requirements associated with child labor laws</w:t>
      </w:r>
      <w:r>
        <w:rPr>
          <w:rFonts w:cs="Times New Roman"/>
          <w:szCs w:val="24"/>
        </w:rPr>
        <w:t xml:space="preserve"> and</w:t>
      </w:r>
      <w:r w:rsidRPr="0065396B">
        <w:rPr>
          <w:rFonts w:cs="Times New Roman"/>
          <w:szCs w:val="24"/>
        </w:rPr>
        <w:t xml:space="preserve"> highly regulated fields</w:t>
      </w:r>
      <w:r>
        <w:rPr>
          <w:rFonts w:cs="Times New Roman"/>
          <w:szCs w:val="24"/>
        </w:rPr>
        <w:t>.</w:t>
      </w:r>
      <w:bookmarkEnd w:id="1"/>
      <w:r w:rsidRPr="0065396B">
        <w:rPr>
          <w:rFonts w:cs="Times New Roman"/>
          <w:szCs w:val="24"/>
        </w:rPr>
        <w:t xml:space="preserve"> </w:t>
      </w:r>
    </w:p>
    <w:p w14:paraId="23407C31" w14:textId="77777777" w:rsidR="00252E28" w:rsidRDefault="00252E28" w:rsidP="00252E28">
      <w:pPr>
        <w:spacing w:after="0"/>
        <w:rPr>
          <w:rFonts w:eastAsia="Times New Roman"/>
          <w:szCs w:val="24"/>
        </w:rPr>
      </w:pPr>
      <w:r w:rsidRPr="0065396B">
        <w:rPr>
          <w:rFonts w:eastAsia="Times New Roman"/>
          <w:szCs w:val="24"/>
        </w:rPr>
        <w:t xml:space="preserve">If you have questions, please contact Sharon W. </w:t>
      </w:r>
      <w:proofErr w:type="spellStart"/>
      <w:r w:rsidRPr="0065396B">
        <w:rPr>
          <w:rFonts w:eastAsia="Times New Roman"/>
          <w:szCs w:val="24"/>
        </w:rPr>
        <w:t>Acuff</w:t>
      </w:r>
      <w:proofErr w:type="spellEnd"/>
      <w:r w:rsidRPr="0065396B">
        <w:rPr>
          <w:rFonts w:eastAsia="Times New Roman"/>
          <w:szCs w:val="24"/>
        </w:rPr>
        <w:t xml:space="preserve">, CTE Marketing and Work-Based Learning Specialist, Office of Career, Technical, and Adult Education, at </w:t>
      </w:r>
      <w:hyperlink r:id="rId7" w:history="1">
        <w:r w:rsidRPr="0065396B">
          <w:rPr>
            <w:rStyle w:val="Hyperlink"/>
            <w:rFonts w:eastAsia="Times New Roman"/>
            <w:szCs w:val="24"/>
          </w:rPr>
          <w:t>CTE@doe.virginia.gov</w:t>
        </w:r>
      </w:hyperlink>
      <w:r w:rsidRPr="0065396B">
        <w:rPr>
          <w:rFonts w:eastAsia="Times New Roman"/>
          <w:color w:val="0000FF"/>
          <w:szCs w:val="24"/>
        </w:rPr>
        <w:t xml:space="preserve"> </w:t>
      </w:r>
      <w:r w:rsidRPr="0065396B">
        <w:rPr>
          <w:rFonts w:eastAsia="Times New Roman"/>
          <w:szCs w:val="24"/>
        </w:rPr>
        <w:t>or by telephone at (804) 225-3119.</w:t>
      </w:r>
    </w:p>
    <w:p w14:paraId="7BE91C85" w14:textId="77777777" w:rsidR="00252E28" w:rsidRDefault="00252E28" w:rsidP="00252E28">
      <w:pPr>
        <w:spacing w:after="0"/>
        <w:rPr>
          <w:rFonts w:eastAsia="Times New Roman"/>
          <w:szCs w:val="24"/>
        </w:rPr>
      </w:pPr>
    </w:p>
    <w:p w14:paraId="7F9C98AD" w14:textId="272D8371" w:rsidR="00CD1B4C" w:rsidRDefault="00252E28" w:rsidP="00252E28">
      <w:pPr>
        <w:spacing w:after="0"/>
      </w:pPr>
      <w:r>
        <w:rPr>
          <w:rFonts w:eastAsia="Times New Roman"/>
          <w:szCs w:val="24"/>
        </w:rPr>
        <w:t>JFL/GRW/jts</w:t>
      </w:r>
    </w:p>
    <w:sectPr w:rsidR="00CD1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F1"/>
    <w:rsid w:val="001D22C2"/>
    <w:rsid w:val="001F15C0"/>
    <w:rsid w:val="0022236E"/>
    <w:rsid w:val="0023620A"/>
    <w:rsid w:val="00252E28"/>
    <w:rsid w:val="00406288"/>
    <w:rsid w:val="006C4F53"/>
    <w:rsid w:val="0080563C"/>
    <w:rsid w:val="00A701E7"/>
    <w:rsid w:val="00B46605"/>
    <w:rsid w:val="00BD503E"/>
    <w:rsid w:val="00C53C2B"/>
    <w:rsid w:val="00CD1B4C"/>
    <w:rsid w:val="00CD4BF9"/>
    <w:rsid w:val="00F9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0D830"/>
  <w15:docId w15:val="{974D13F2-16C1-4091-B32B-C231C018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6F1"/>
    <w:pPr>
      <w:spacing w:after="200" w:line="276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16F1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916F1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F916F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C4F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rsid w:val="006C4F53"/>
    <w:rPr>
      <w:b/>
      <w:bCs/>
    </w:rPr>
  </w:style>
  <w:style w:type="paragraph" w:styleId="PlainText">
    <w:name w:val="Plain Text"/>
    <w:basedOn w:val="Normal"/>
    <w:link w:val="PlainTextChar"/>
    <w:rsid w:val="006C4F5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C4F53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1E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056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TE@doe.virgini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e.virginia.gov/instruction/career_technical/work-based_learning/documents/wbl-guide.docx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www.doe.virginia.gov/administrators/index.s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 164-20</vt:lpstr>
    </vt:vector>
  </TitlesOfParts>
  <Company>Virginia IT Infrastructure Partnership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164-20</dc:title>
  <dc:creator>Acuff, Sharon (DOE)</dc:creator>
  <cp:lastModifiedBy>Jennings, Laura (DOE)</cp:lastModifiedBy>
  <cp:revision>2</cp:revision>
  <dcterms:created xsi:type="dcterms:W3CDTF">2020-07-06T15:18:00Z</dcterms:created>
  <dcterms:modified xsi:type="dcterms:W3CDTF">2020-07-06T15:18:00Z</dcterms:modified>
</cp:coreProperties>
</file>