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0C594" w14:textId="2FB057B0" w:rsidR="00167950" w:rsidRPr="00D534B4" w:rsidRDefault="00167950" w:rsidP="00167950">
      <w:pPr>
        <w:pStyle w:val="Heading1"/>
        <w:tabs>
          <w:tab w:val="left" w:pos="1440"/>
        </w:tabs>
      </w:pPr>
      <w:r>
        <w:t>Superintendent’s Memo #</w:t>
      </w:r>
      <w:bookmarkStart w:id="0" w:name="_GoBack"/>
      <w:r w:rsidR="009D4AC0">
        <w:t>097</w:t>
      </w:r>
      <w:r w:rsidR="00001375">
        <w:t>-</w:t>
      </w:r>
      <w:r w:rsidR="00595322">
        <w:t>20</w:t>
      </w:r>
      <w:bookmarkEnd w:id="0"/>
    </w:p>
    <w:p w14:paraId="6478BF6A" w14:textId="77777777" w:rsidR="00167950" w:rsidRDefault="00167950" w:rsidP="00167950">
      <w:pPr>
        <w:jc w:val="center"/>
      </w:pPr>
      <w:r>
        <w:rPr>
          <w:noProof/>
        </w:rPr>
        <w:drawing>
          <wp:inline distT="0" distB="0" distL="0" distR="0" wp14:anchorId="6AAFEE44" wp14:editId="7A549512">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7544111" w14:textId="77777777" w:rsidR="00B032B5" w:rsidRDefault="00B032B5" w:rsidP="005039FE">
      <w:pPr>
        <w:spacing w:after="0" w:line="240" w:lineRule="auto"/>
      </w:pPr>
    </w:p>
    <w:p w14:paraId="4650F0CF" w14:textId="41EC8A19" w:rsidR="00C91657" w:rsidRDefault="00167950" w:rsidP="005039FE">
      <w:pPr>
        <w:spacing w:after="0" w:line="240" w:lineRule="auto"/>
      </w:pPr>
      <w:r w:rsidRPr="00A65EE6">
        <w:t xml:space="preserve">DATE: </w:t>
      </w:r>
      <w:r w:rsidR="00B032B5">
        <w:tab/>
      </w:r>
      <w:r w:rsidR="005039FE">
        <w:t>April 17</w:t>
      </w:r>
      <w:r w:rsidR="004E67C5">
        <w:t>, 20</w:t>
      </w:r>
      <w:r w:rsidR="00595322">
        <w:t>20</w:t>
      </w:r>
    </w:p>
    <w:p w14:paraId="2A33018E" w14:textId="77777777" w:rsidR="00B032B5" w:rsidRDefault="00B032B5" w:rsidP="005039FE">
      <w:pPr>
        <w:spacing w:after="0" w:line="240" w:lineRule="auto"/>
      </w:pPr>
    </w:p>
    <w:p w14:paraId="01CF5B96" w14:textId="77777777" w:rsidR="00167950" w:rsidRDefault="00167950" w:rsidP="005039FE">
      <w:pPr>
        <w:spacing w:after="0" w:line="240" w:lineRule="auto"/>
      </w:pPr>
      <w:r w:rsidRPr="00A65EE6">
        <w:t xml:space="preserve">TO: </w:t>
      </w:r>
      <w:r w:rsidR="00C91657">
        <w:tab/>
      </w:r>
      <w:r w:rsidR="00C91657">
        <w:tab/>
      </w:r>
      <w:r w:rsidRPr="00A65EE6">
        <w:t>Division Superintendents</w:t>
      </w:r>
    </w:p>
    <w:p w14:paraId="0AF94969" w14:textId="77777777" w:rsidR="00B032B5" w:rsidRPr="00A65EE6" w:rsidRDefault="00B032B5" w:rsidP="005039FE">
      <w:pPr>
        <w:spacing w:after="0" w:line="240" w:lineRule="auto"/>
      </w:pPr>
    </w:p>
    <w:p w14:paraId="40E626F8" w14:textId="217B1484" w:rsidR="005039FE" w:rsidRDefault="00167950" w:rsidP="005039FE">
      <w:pPr>
        <w:spacing w:after="0" w:line="240" w:lineRule="auto"/>
      </w:pPr>
      <w:r w:rsidRPr="00A65EE6">
        <w:t xml:space="preserve">FROM: </w:t>
      </w:r>
      <w:r w:rsidR="00C91657">
        <w:tab/>
      </w:r>
      <w:r w:rsidRPr="00C44E87">
        <w:rPr>
          <w:color w:val="000000"/>
          <w:szCs w:val="24"/>
        </w:rPr>
        <w:t>James F. Lane</w:t>
      </w:r>
      <w:r w:rsidRPr="00C44E87">
        <w:rPr>
          <w:szCs w:val="24"/>
        </w:rPr>
        <w:t>,</w:t>
      </w:r>
      <w:r w:rsidR="005039FE">
        <w:rPr>
          <w:szCs w:val="24"/>
        </w:rPr>
        <w:t xml:space="preserve"> Ed.D.</w:t>
      </w:r>
    </w:p>
    <w:p w14:paraId="1881F24D" w14:textId="2A7AB7B3" w:rsidR="00167950" w:rsidRDefault="00167950" w:rsidP="005039FE">
      <w:pPr>
        <w:spacing w:after="0" w:line="240" w:lineRule="auto"/>
        <w:ind w:left="720" w:firstLine="720"/>
      </w:pPr>
      <w:r w:rsidRPr="00A65EE6">
        <w:t>Superintendent of Public Instruction</w:t>
      </w:r>
    </w:p>
    <w:p w14:paraId="4C394470" w14:textId="77777777" w:rsidR="00B032B5" w:rsidRPr="00A65EE6" w:rsidRDefault="00B032B5" w:rsidP="005039FE">
      <w:pPr>
        <w:spacing w:after="0" w:line="240" w:lineRule="auto"/>
      </w:pPr>
    </w:p>
    <w:p w14:paraId="4C034A6D" w14:textId="77777777" w:rsidR="00167950" w:rsidRPr="003E20D6" w:rsidRDefault="00167950" w:rsidP="005039FE">
      <w:pPr>
        <w:pStyle w:val="Heading2"/>
        <w:spacing w:after="0" w:line="240" w:lineRule="auto"/>
        <w:ind w:left="1440" w:hanging="1440"/>
        <w:rPr>
          <w:rFonts w:eastAsia="Times New Roman" w:cs="Times New Roman"/>
          <w:bCs/>
          <w:szCs w:val="24"/>
        </w:rPr>
      </w:pPr>
      <w:r w:rsidRPr="00B032B5">
        <w:rPr>
          <w:szCs w:val="24"/>
        </w:rPr>
        <w:t xml:space="preserve">SUBJECT: </w:t>
      </w:r>
      <w:r w:rsidR="00B032B5">
        <w:rPr>
          <w:szCs w:val="24"/>
        </w:rPr>
        <w:tab/>
      </w:r>
      <w:r w:rsidR="000C7A2A">
        <w:rPr>
          <w:szCs w:val="24"/>
        </w:rPr>
        <w:t xml:space="preserve">New </w:t>
      </w:r>
      <w:r w:rsidR="004E67C5">
        <w:rPr>
          <w:rFonts w:eastAsia="Times New Roman" w:cs="Times New Roman"/>
          <w:bCs/>
          <w:szCs w:val="24"/>
        </w:rPr>
        <w:t>Energy Career Cluster</w:t>
      </w:r>
    </w:p>
    <w:p w14:paraId="354B0F90" w14:textId="77777777" w:rsidR="002B6D83" w:rsidRDefault="002B6D83" w:rsidP="005039FE">
      <w:pPr>
        <w:pStyle w:val="PlainText"/>
        <w:rPr>
          <w:rFonts w:ascii="Times New Roman" w:hAnsi="Times New Roman" w:cs="Times New Roman"/>
          <w:sz w:val="24"/>
          <w:szCs w:val="24"/>
        </w:rPr>
      </w:pPr>
    </w:p>
    <w:p w14:paraId="1BA0EA98" w14:textId="65C86C3F" w:rsidR="004E67C5" w:rsidRDefault="004E67C5" w:rsidP="005039FE">
      <w:pPr>
        <w:spacing w:after="0" w:line="240" w:lineRule="auto"/>
        <w:rPr>
          <w:rFonts w:cs="Times New Roman"/>
          <w:szCs w:val="24"/>
        </w:rPr>
      </w:pPr>
      <w:r w:rsidRPr="00DD2A6F">
        <w:rPr>
          <w:rFonts w:cs="Times New Roman"/>
          <w:szCs w:val="24"/>
        </w:rPr>
        <w:t xml:space="preserve">In 2019, SB 1348 required the </w:t>
      </w:r>
      <w:r>
        <w:rPr>
          <w:rFonts w:cs="Times New Roman"/>
          <w:szCs w:val="24"/>
        </w:rPr>
        <w:t xml:space="preserve">Virginia </w:t>
      </w:r>
      <w:r w:rsidRPr="00DD2A6F">
        <w:rPr>
          <w:rFonts w:cs="Times New Roman"/>
          <w:szCs w:val="24"/>
        </w:rPr>
        <w:t>Department of Education</w:t>
      </w:r>
      <w:r>
        <w:rPr>
          <w:rFonts w:cs="Times New Roman"/>
          <w:szCs w:val="24"/>
        </w:rPr>
        <w:t xml:space="preserve"> (VDOE)</w:t>
      </w:r>
      <w:r w:rsidRPr="00DD2A6F">
        <w:rPr>
          <w:rFonts w:cs="Times New Roman"/>
          <w:szCs w:val="24"/>
        </w:rPr>
        <w:t xml:space="preserve">, in consultation with representatives from pertinent industries such as renewable energy, natural gas, nuclear energy, coal, and oil, to establish an Energy career cluster. The bill requires the </w:t>
      </w:r>
      <w:r>
        <w:rPr>
          <w:rFonts w:cs="Times New Roman"/>
          <w:szCs w:val="24"/>
        </w:rPr>
        <w:t>VDOE</w:t>
      </w:r>
      <w:r w:rsidRPr="00DD2A6F">
        <w:rPr>
          <w:rFonts w:cs="Times New Roman"/>
          <w:szCs w:val="24"/>
        </w:rPr>
        <w:t xml:space="preserve"> to base the knowledge and skill sets contained in such energy career cluster on the energy industry competency and credential models developed by the Center for Energy Workforce Development in partnership with the U.S. Department of Labor. </w:t>
      </w:r>
    </w:p>
    <w:p w14:paraId="54ED9184" w14:textId="77777777" w:rsidR="005039FE" w:rsidRDefault="005039FE" w:rsidP="005039FE">
      <w:pPr>
        <w:spacing w:after="0" w:line="240" w:lineRule="auto"/>
        <w:rPr>
          <w:rFonts w:cs="Times New Roman"/>
          <w:szCs w:val="24"/>
        </w:rPr>
      </w:pPr>
    </w:p>
    <w:p w14:paraId="0754968C" w14:textId="77777777" w:rsidR="004E67C5" w:rsidRDefault="004E67C5" w:rsidP="005039FE">
      <w:pPr>
        <w:spacing w:after="0" w:line="240" w:lineRule="auto"/>
        <w:rPr>
          <w:rFonts w:cs="Times New Roman"/>
          <w:szCs w:val="24"/>
        </w:rPr>
      </w:pPr>
      <w:r w:rsidRPr="00DD2A6F">
        <w:rPr>
          <w:rFonts w:cs="Times New Roman"/>
          <w:szCs w:val="24"/>
        </w:rPr>
        <w:t xml:space="preserve">Governor Ralph Northam </w:t>
      </w:r>
      <w:r>
        <w:rPr>
          <w:rFonts w:cs="Times New Roman"/>
          <w:szCs w:val="24"/>
        </w:rPr>
        <w:t xml:space="preserve">also </w:t>
      </w:r>
      <w:r w:rsidRPr="00DD2A6F">
        <w:rPr>
          <w:rFonts w:cs="Times New Roman"/>
          <w:szCs w:val="24"/>
        </w:rPr>
        <w:t>signed Executive Order 43 which establishes ambitious statewide goals and targets for clean energy deployment and expands upon the Commonwealth’s commitments to reduce our environmental impact, mitigate the impacts of climate change, and boost the clean energy economy in Virginia. Additionally, to ensure that Virginia has the workforce to meet the growing needs and technological advances of the clean energy sector, the Chief Workforce Advisor and the Secretary of Commerce and Trade will develop a plan that includes an evaluation of current curriculum and training programs, including K-12 curriculum and the potential for pre-employment programs. The plan shall address both awareness of energy sector career opportunities and access to career pathways and programs. To that end, the V</w:t>
      </w:r>
      <w:r w:rsidR="00B622C5">
        <w:rPr>
          <w:rFonts w:cs="Times New Roman"/>
          <w:szCs w:val="24"/>
        </w:rPr>
        <w:t xml:space="preserve">DOE </w:t>
      </w:r>
      <w:r w:rsidRPr="00DD2A6F">
        <w:rPr>
          <w:rFonts w:cs="Times New Roman"/>
          <w:szCs w:val="24"/>
        </w:rPr>
        <w:t xml:space="preserve">has been working with the energy industry to create </w:t>
      </w:r>
      <w:r>
        <w:rPr>
          <w:rFonts w:cs="Times New Roman"/>
          <w:szCs w:val="24"/>
        </w:rPr>
        <w:t xml:space="preserve">the following </w:t>
      </w:r>
      <w:r w:rsidRPr="00DD2A6F">
        <w:rPr>
          <w:rFonts w:cs="Times New Roman"/>
          <w:szCs w:val="24"/>
        </w:rPr>
        <w:t>pathways and courses</w:t>
      </w:r>
      <w:r>
        <w:rPr>
          <w:rFonts w:cs="Times New Roman"/>
          <w:szCs w:val="24"/>
        </w:rPr>
        <w:t xml:space="preserve"> </w:t>
      </w:r>
      <w:r w:rsidRPr="00DD2A6F">
        <w:rPr>
          <w:rFonts w:cs="Times New Roman"/>
          <w:szCs w:val="24"/>
        </w:rPr>
        <w:t xml:space="preserve">for the Energy cluster. </w:t>
      </w:r>
    </w:p>
    <w:p w14:paraId="53203DB8" w14:textId="38F44C9F" w:rsidR="004E67C5" w:rsidRDefault="004E67C5" w:rsidP="005039FE">
      <w:pPr>
        <w:spacing w:after="0" w:line="240" w:lineRule="auto"/>
        <w:rPr>
          <w:rFonts w:cs="Times New Roman"/>
          <w:szCs w:val="24"/>
        </w:rPr>
      </w:pPr>
    </w:p>
    <w:tbl>
      <w:tblPr>
        <w:tblStyle w:val="TableGridLight"/>
        <w:tblW w:w="0" w:type="auto"/>
        <w:tblLook w:val="0020" w:firstRow="1" w:lastRow="0" w:firstColumn="0" w:lastColumn="0" w:noHBand="0" w:noVBand="0"/>
        <w:tblDescription w:val="Four Energy Pathways"/>
      </w:tblPr>
      <w:tblGrid>
        <w:gridCol w:w="1800"/>
        <w:gridCol w:w="1980"/>
        <w:gridCol w:w="2520"/>
        <w:gridCol w:w="2160"/>
      </w:tblGrid>
      <w:tr w:rsidR="004E67C5" w14:paraId="0979607B" w14:textId="77777777" w:rsidTr="004E67C5">
        <w:trPr>
          <w:trHeight w:val="100"/>
          <w:tblHeader/>
        </w:trPr>
        <w:tc>
          <w:tcPr>
            <w:tcW w:w="1800" w:type="dxa"/>
          </w:tcPr>
          <w:p w14:paraId="16EC92EA" w14:textId="77777777" w:rsidR="004E67C5" w:rsidRPr="00A70771" w:rsidRDefault="004E67C5" w:rsidP="005039FE">
            <w:pPr>
              <w:pStyle w:val="NoSpacing"/>
              <w:rPr>
                <w:rFonts w:ascii="Times New Roman" w:hAnsi="Times New Roman" w:cs="Times New Roman"/>
                <w:b/>
                <w:lang w:val="en"/>
              </w:rPr>
            </w:pPr>
            <w:r w:rsidRPr="00A70771">
              <w:rPr>
                <w:rFonts w:ascii="Times New Roman" w:hAnsi="Times New Roman" w:cs="Times New Roman"/>
                <w:b/>
                <w:lang w:val="en"/>
              </w:rPr>
              <w:t>Energy Efficiency Pathway</w:t>
            </w:r>
          </w:p>
        </w:tc>
        <w:tc>
          <w:tcPr>
            <w:tcW w:w="1980" w:type="dxa"/>
          </w:tcPr>
          <w:p w14:paraId="0CCCD109" w14:textId="77777777" w:rsidR="004E67C5" w:rsidRPr="00A70771" w:rsidRDefault="004E67C5" w:rsidP="005039FE">
            <w:pPr>
              <w:pStyle w:val="NoSpacing"/>
              <w:rPr>
                <w:rFonts w:ascii="Times New Roman" w:hAnsi="Times New Roman" w:cs="Times New Roman"/>
                <w:b/>
                <w:lang w:val="en"/>
              </w:rPr>
            </w:pPr>
            <w:r w:rsidRPr="00A70771">
              <w:rPr>
                <w:rFonts w:ascii="Times New Roman" w:hAnsi="Times New Roman" w:cs="Times New Roman"/>
                <w:b/>
                <w:lang w:val="en"/>
              </w:rPr>
              <w:t>Fuel Production Pathway</w:t>
            </w:r>
          </w:p>
        </w:tc>
        <w:tc>
          <w:tcPr>
            <w:tcW w:w="2520" w:type="dxa"/>
          </w:tcPr>
          <w:p w14:paraId="287BF853" w14:textId="77777777" w:rsidR="004E67C5" w:rsidRPr="00A70771" w:rsidRDefault="004E67C5" w:rsidP="005039FE">
            <w:pPr>
              <w:pStyle w:val="NoSpacing"/>
              <w:rPr>
                <w:rFonts w:ascii="Times New Roman" w:hAnsi="Times New Roman" w:cs="Times New Roman"/>
                <w:b/>
                <w:lang w:val="en"/>
              </w:rPr>
            </w:pPr>
            <w:r w:rsidRPr="00A70771">
              <w:rPr>
                <w:rFonts w:ascii="Times New Roman" w:hAnsi="Times New Roman" w:cs="Times New Roman"/>
                <w:b/>
                <w:lang w:val="en"/>
              </w:rPr>
              <w:t>Power Generation</w:t>
            </w:r>
          </w:p>
          <w:p w14:paraId="36F24884" w14:textId="77777777" w:rsidR="004E67C5" w:rsidRPr="00A70771" w:rsidRDefault="004E67C5" w:rsidP="005039FE">
            <w:pPr>
              <w:pStyle w:val="NoSpacing"/>
              <w:rPr>
                <w:rFonts w:ascii="Times New Roman" w:hAnsi="Times New Roman" w:cs="Times New Roman"/>
                <w:b/>
                <w:lang w:val="en"/>
              </w:rPr>
            </w:pPr>
            <w:r w:rsidRPr="00A70771">
              <w:rPr>
                <w:rFonts w:ascii="Times New Roman" w:hAnsi="Times New Roman" w:cs="Times New Roman"/>
                <w:b/>
                <w:lang w:val="en"/>
              </w:rPr>
              <w:t>Pathway</w:t>
            </w:r>
          </w:p>
        </w:tc>
        <w:tc>
          <w:tcPr>
            <w:tcW w:w="2160" w:type="dxa"/>
          </w:tcPr>
          <w:p w14:paraId="07D4CAEB" w14:textId="77777777" w:rsidR="004E67C5" w:rsidRPr="00A70771" w:rsidRDefault="004E67C5" w:rsidP="005039FE">
            <w:pPr>
              <w:pStyle w:val="NoSpacing"/>
              <w:rPr>
                <w:rFonts w:ascii="Times New Roman" w:hAnsi="Times New Roman" w:cs="Times New Roman"/>
                <w:b/>
                <w:lang w:val="en"/>
              </w:rPr>
            </w:pPr>
            <w:r w:rsidRPr="00A70771">
              <w:rPr>
                <w:rFonts w:ascii="Times New Roman" w:hAnsi="Times New Roman" w:cs="Times New Roman"/>
                <w:b/>
                <w:lang w:val="en"/>
              </w:rPr>
              <w:t>Transmission, Distribution and Storage Pathway</w:t>
            </w:r>
          </w:p>
        </w:tc>
      </w:tr>
      <w:tr w:rsidR="004E67C5" w14:paraId="243DEF63" w14:textId="77777777" w:rsidTr="004E67C5">
        <w:trPr>
          <w:trHeight w:val="100"/>
          <w:tblHeader/>
        </w:trPr>
        <w:tc>
          <w:tcPr>
            <w:tcW w:w="1800" w:type="dxa"/>
          </w:tcPr>
          <w:p w14:paraId="107710A0" w14:textId="77777777" w:rsidR="004E67C5" w:rsidRPr="00C03185" w:rsidRDefault="004E67C5" w:rsidP="005039FE">
            <w:pPr>
              <w:pStyle w:val="NoSpacing"/>
              <w:rPr>
                <w:rFonts w:ascii="Times New Roman" w:eastAsia="Times New Roman" w:hAnsi="Times New Roman" w:cs="Times New Roman"/>
                <w:lang w:val="en"/>
              </w:rPr>
            </w:pPr>
            <w:r w:rsidRPr="00C03185">
              <w:rPr>
                <w:rFonts w:ascii="Times New Roman" w:hAnsi="Times New Roman" w:cs="Times New Roman"/>
              </w:rPr>
              <w:t>Energy Supply: Sustainability and Efficiency</w:t>
            </w:r>
          </w:p>
        </w:tc>
        <w:tc>
          <w:tcPr>
            <w:tcW w:w="1980" w:type="dxa"/>
          </w:tcPr>
          <w:p w14:paraId="42C5779B" w14:textId="77777777" w:rsidR="004E67C5" w:rsidRPr="00C03185" w:rsidRDefault="004E67C5" w:rsidP="005039FE">
            <w:pPr>
              <w:pStyle w:val="NoSpacing"/>
              <w:rPr>
                <w:rFonts w:ascii="Times New Roman" w:eastAsia="Times New Roman" w:hAnsi="Times New Roman" w:cs="Times New Roman"/>
                <w:lang w:val="en"/>
              </w:rPr>
            </w:pPr>
            <w:r w:rsidRPr="00C03185">
              <w:rPr>
                <w:rFonts w:ascii="Times New Roman" w:hAnsi="Times New Roman" w:cs="Times New Roman"/>
              </w:rPr>
              <w:t>Energy Source Life Cycle</w:t>
            </w:r>
          </w:p>
        </w:tc>
        <w:tc>
          <w:tcPr>
            <w:tcW w:w="2520" w:type="dxa"/>
          </w:tcPr>
          <w:p w14:paraId="2C8A58F7" w14:textId="77777777" w:rsidR="004E67C5" w:rsidRPr="00C03185" w:rsidRDefault="004E67C5" w:rsidP="005039FE">
            <w:pPr>
              <w:pStyle w:val="NoSpacing"/>
              <w:rPr>
                <w:rFonts w:ascii="Times New Roman" w:eastAsia="Times New Roman" w:hAnsi="Times New Roman" w:cs="Times New Roman"/>
                <w:lang w:val="en"/>
              </w:rPr>
            </w:pPr>
            <w:r w:rsidRPr="00C03185">
              <w:rPr>
                <w:rFonts w:ascii="Times New Roman" w:hAnsi="Times New Roman" w:cs="Times New Roman"/>
              </w:rPr>
              <w:t>Energy and Power Foundations</w:t>
            </w:r>
          </w:p>
        </w:tc>
        <w:tc>
          <w:tcPr>
            <w:tcW w:w="2160" w:type="dxa"/>
          </w:tcPr>
          <w:p w14:paraId="5283C589" w14:textId="77777777" w:rsidR="004E67C5" w:rsidRPr="00C03185" w:rsidRDefault="004E67C5" w:rsidP="005039FE">
            <w:pPr>
              <w:pStyle w:val="NoSpacing"/>
              <w:rPr>
                <w:rFonts w:ascii="Times New Roman" w:eastAsia="Times New Roman" w:hAnsi="Times New Roman" w:cs="Times New Roman"/>
                <w:lang w:val="en"/>
              </w:rPr>
            </w:pPr>
            <w:r w:rsidRPr="00C03185">
              <w:rPr>
                <w:rFonts w:ascii="Times New Roman" w:hAnsi="Times New Roman" w:cs="Times New Roman"/>
              </w:rPr>
              <w:t>Energy Transmission and Distribution</w:t>
            </w:r>
          </w:p>
        </w:tc>
      </w:tr>
      <w:tr w:rsidR="004E67C5" w14:paraId="1E47B63C" w14:textId="77777777" w:rsidTr="004E67C5">
        <w:trPr>
          <w:trHeight w:val="100"/>
          <w:tblHeader/>
        </w:trPr>
        <w:tc>
          <w:tcPr>
            <w:tcW w:w="1800" w:type="dxa"/>
          </w:tcPr>
          <w:p w14:paraId="771581E7" w14:textId="77777777" w:rsidR="004E67C5" w:rsidRPr="00C03185" w:rsidRDefault="004E67C5" w:rsidP="005039FE">
            <w:pPr>
              <w:pStyle w:val="NoSpacing"/>
              <w:rPr>
                <w:rFonts w:ascii="Times New Roman" w:eastAsia="Times New Roman" w:hAnsi="Times New Roman" w:cs="Times New Roman"/>
                <w:lang w:val="en"/>
              </w:rPr>
            </w:pPr>
            <w:r w:rsidRPr="00C03185">
              <w:rPr>
                <w:rFonts w:ascii="Times New Roman" w:eastAsiaTheme="minorEastAsia" w:hAnsi="Times New Roman" w:cs="Times New Roman"/>
                <w:color w:val="000000" w:themeColor="text1"/>
                <w:kern w:val="24"/>
              </w:rPr>
              <w:t>Energy Demand: Sustainability and Efficiency</w:t>
            </w:r>
          </w:p>
        </w:tc>
        <w:tc>
          <w:tcPr>
            <w:tcW w:w="1980" w:type="dxa"/>
          </w:tcPr>
          <w:p w14:paraId="0F256C10" w14:textId="77777777" w:rsidR="004E67C5" w:rsidRPr="00C03185" w:rsidRDefault="004E67C5" w:rsidP="005039FE">
            <w:pPr>
              <w:pStyle w:val="NoSpacing"/>
              <w:rPr>
                <w:rFonts w:ascii="Times New Roman" w:eastAsia="Times New Roman" w:hAnsi="Times New Roman" w:cs="Times New Roman"/>
                <w:lang w:val="en"/>
              </w:rPr>
            </w:pPr>
            <w:r w:rsidRPr="00C03185">
              <w:rPr>
                <w:rFonts w:ascii="Times New Roman" w:eastAsiaTheme="minorEastAsia" w:hAnsi="Times New Roman" w:cs="Times New Roman"/>
                <w:color w:val="000000" w:themeColor="text1"/>
                <w:kern w:val="24"/>
              </w:rPr>
              <w:t>Application of Engineered Systems</w:t>
            </w:r>
          </w:p>
        </w:tc>
        <w:tc>
          <w:tcPr>
            <w:tcW w:w="2520" w:type="dxa"/>
          </w:tcPr>
          <w:p w14:paraId="29AF6014" w14:textId="77777777" w:rsidR="004E67C5" w:rsidRPr="00C03185" w:rsidRDefault="004E67C5" w:rsidP="005039FE">
            <w:pPr>
              <w:pStyle w:val="NoSpacing"/>
              <w:rPr>
                <w:rFonts w:ascii="Times New Roman" w:eastAsia="Times New Roman" w:hAnsi="Times New Roman" w:cs="Times New Roman"/>
                <w:lang w:val="en"/>
              </w:rPr>
            </w:pPr>
            <w:r w:rsidRPr="00C03185">
              <w:rPr>
                <w:rFonts w:ascii="Times New Roman" w:eastAsiaTheme="minorEastAsia" w:hAnsi="Times New Roman" w:cs="Times New Roman"/>
                <w:color w:val="000000" w:themeColor="text1"/>
                <w:kern w:val="24"/>
              </w:rPr>
              <w:t>Power Generation Design and Function</w:t>
            </w:r>
          </w:p>
        </w:tc>
        <w:tc>
          <w:tcPr>
            <w:tcW w:w="2160" w:type="dxa"/>
          </w:tcPr>
          <w:p w14:paraId="4805B6EE" w14:textId="77777777" w:rsidR="004E67C5" w:rsidRPr="00C03185" w:rsidRDefault="004E67C5" w:rsidP="005039FE">
            <w:pPr>
              <w:pStyle w:val="NoSpacing"/>
              <w:rPr>
                <w:rFonts w:ascii="Times New Roman" w:eastAsia="Times New Roman" w:hAnsi="Times New Roman" w:cs="Times New Roman"/>
                <w:lang w:val="en"/>
              </w:rPr>
            </w:pPr>
            <w:r w:rsidRPr="00C03185">
              <w:rPr>
                <w:rFonts w:ascii="Times New Roman" w:hAnsi="Times New Roman" w:cs="Times New Roman"/>
              </w:rPr>
              <w:t>Energy Transmission and Distribution, Advanced</w:t>
            </w:r>
          </w:p>
        </w:tc>
      </w:tr>
    </w:tbl>
    <w:p w14:paraId="4026D33E" w14:textId="77777777" w:rsidR="004E67C5" w:rsidRPr="00A70771" w:rsidRDefault="004E67C5" w:rsidP="005039FE">
      <w:pPr>
        <w:pStyle w:val="NoSpacing"/>
        <w:rPr>
          <w:rFonts w:ascii="Times New Roman" w:hAnsi="Times New Roman" w:cs="Times New Roman"/>
          <w:sz w:val="24"/>
          <w:szCs w:val="24"/>
        </w:rPr>
      </w:pPr>
    </w:p>
    <w:p w14:paraId="3321E50B" w14:textId="611C60FF" w:rsidR="004E67C5" w:rsidRDefault="004E67C5" w:rsidP="005039FE">
      <w:pPr>
        <w:spacing w:after="0" w:line="240" w:lineRule="auto"/>
        <w:rPr>
          <w:rFonts w:eastAsia="Times New Roman" w:cs="Times New Roman"/>
          <w:color w:val="000000"/>
          <w:szCs w:val="24"/>
        </w:rPr>
      </w:pPr>
      <w:r w:rsidRPr="008C2624">
        <w:rPr>
          <w:rFonts w:cs="Times New Roman"/>
          <w:szCs w:val="24"/>
        </w:rPr>
        <w:t>The eight new high s</w:t>
      </w:r>
      <w:r w:rsidR="0000185A">
        <w:rPr>
          <w:rFonts w:cs="Times New Roman"/>
          <w:szCs w:val="24"/>
        </w:rPr>
        <w:t>chool courses will be available for the 2020-2021 school year</w:t>
      </w:r>
      <w:r w:rsidRPr="008C2624">
        <w:rPr>
          <w:rFonts w:cs="Times New Roman"/>
          <w:szCs w:val="24"/>
        </w:rPr>
        <w:t xml:space="preserve">. </w:t>
      </w:r>
      <w:r w:rsidR="0000185A">
        <w:rPr>
          <w:rFonts w:cs="Times New Roman"/>
          <w:szCs w:val="24"/>
        </w:rPr>
        <w:t xml:space="preserve">Divisions interested in offering an energy program </w:t>
      </w:r>
      <w:r w:rsidR="00152D01">
        <w:rPr>
          <w:rFonts w:cs="Times New Roman"/>
          <w:szCs w:val="24"/>
        </w:rPr>
        <w:t>must submit</w:t>
      </w:r>
      <w:r w:rsidR="00BA3D18">
        <w:rPr>
          <w:rFonts w:cs="Times New Roman"/>
          <w:szCs w:val="24"/>
        </w:rPr>
        <w:t xml:space="preserve"> the </w:t>
      </w:r>
      <w:hyperlink r:id="rId10" w:history="1">
        <w:r w:rsidR="00BA3D18" w:rsidRPr="00BA3D18">
          <w:rPr>
            <w:rStyle w:val="Hyperlink"/>
            <w:rFonts w:cs="Times New Roman"/>
            <w:szCs w:val="24"/>
          </w:rPr>
          <w:t>A</w:t>
        </w:r>
        <w:r w:rsidR="00B026B5" w:rsidRPr="00BA3D18">
          <w:rPr>
            <w:rStyle w:val="Hyperlink"/>
            <w:szCs w:val="24"/>
            <w:lang w:val="en"/>
          </w:rPr>
          <w:t>pplication</w:t>
        </w:r>
        <w:r w:rsidR="00152D01" w:rsidRPr="00BA3D18">
          <w:rPr>
            <w:rStyle w:val="Hyperlink"/>
            <w:szCs w:val="24"/>
            <w:lang w:val="en"/>
          </w:rPr>
          <w:t xml:space="preserve"> </w:t>
        </w:r>
        <w:r w:rsidR="00BA3D18" w:rsidRPr="00BA3D18">
          <w:rPr>
            <w:rStyle w:val="Hyperlink"/>
            <w:szCs w:val="24"/>
            <w:lang w:val="en"/>
          </w:rPr>
          <w:t>f</w:t>
        </w:r>
        <w:r w:rsidR="00152D01" w:rsidRPr="00BA3D18">
          <w:rPr>
            <w:rStyle w:val="Hyperlink"/>
            <w:szCs w:val="24"/>
            <w:lang w:val="en"/>
          </w:rPr>
          <w:t xml:space="preserve">or </w:t>
        </w:r>
        <w:r w:rsidR="00BA3D18" w:rsidRPr="00BA3D18">
          <w:rPr>
            <w:rStyle w:val="Hyperlink"/>
            <w:szCs w:val="24"/>
            <w:lang w:val="en"/>
          </w:rPr>
          <w:t>n</w:t>
        </w:r>
        <w:r w:rsidR="00152D01" w:rsidRPr="00BA3D18">
          <w:rPr>
            <w:rStyle w:val="Hyperlink"/>
            <w:szCs w:val="24"/>
            <w:lang w:val="en"/>
          </w:rPr>
          <w:t>ew Programs and/or Courses</w:t>
        </w:r>
      </w:hyperlink>
      <w:r w:rsidR="0000185A" w:rsidRPr="00152D01">
        <w:rPr>
          <w:rFonts w:cs="Times New Roman"/>
          <w:szCs w:val="24"/>
        </w:rPr>
        <w:t>.</w:t>
      </w:r>
      <w:r w:rsidR="00384F6D">
        <w:rPr>
          <w:rFonts w:cs="Times New Roman"/>
          <w:szCs w:val="24"/>
        </w:rPr>
        <w:t xml:space="preserve"> </w:t>
      </w:r>
      <w:r w:rsidR="00313EE5" w:rsidRPr="008C2624">
        <w:rPr>
          <w:rFonts w:cs="Times New Roman"/>
          <w:szCs w:val="24"/>
        </w:rPr>
        <w:t>Instructional resources will be available from</w:t>
      </w:r>
      <w:r w:rsidR="00404D9B">
        <w:rPr>
          <w:rFonts w:cs="Times New Roman"/>
          <w:szCs w:val="24"/>
        </w:rPr>
        <w:t xml:space="preserve"> the Center for Energy Workforce Development (CEWD) and VDOE.</w:t>
      </w:r>
      <w:r w:rsidR="00BA3D18">
        <w:rPr>
          <w:rFonts w:cs="Times New Roman"/>
          <w:szCs w:val="24"/>
        </w:rPr>
        <w:t xml:space="preserve"> Online p</w:t>
      </w:r>
      <w:r>
        <w:rPr>
          <w:rFonts w:cs="Times New Roman"/>
          <w:szCs w:val="24"/>
        </w:rPr>
        <w:t xml:space="preserve">rofessional development </w:t>
      </w:r>
      <w:r w:rsidRPr="00953909">
        <w:rPr>
          <w:rFonts w:cs="Times New Roman"/>
          <w:szCs w:val="24"/>
        </w:rPr>
        <w:t xml:space="preserve">for teaching </w:t>
      </w:r>
      <w:r w:rsidR="00384F6D" w:rsidRPr="00C03185">
        <w:rPr>
          <w:rFonts w:cs="Times New Roman"/>
        </w:rPr>
        <w:t>Energy Supply: Sustainability and Efficiency</w:t>
      </w:r>
      <w:r w:rsidR="00384F6D" w:rsidRPr="00953909">
        <w:rPr>
          <w:rFonts w:cs="Times New Roman"/>
          <w:szCs w:val="24"/>
        </w:rPr>
        <w:t xml:space="preserve"> </w:t>
      </w:r>
      <w:r w:rsidRPr="00953909">
        <w:rPr>
          <w:rFonts w:cs="Times New Roman"/>
          <w:szCs w:val="24"/>
        </w:rPr>
        <w:t xml:space="preserve">will be available </w:t>
      </w:r>
      <w:r w:rsidR="005F3FFB">
        <w:rPr>
          <w:rFonts w:cs="Times New Roman"/>
          <w:szCs w:val="24"/>
        </w:rPr>
        <w:t xml:space="preserve">in the </w:t>
      </w:r>
      <w:r w:rsidR="00BA3D18">
        <w:rPr>
          <w:rFonts w:cs="Times New Roman"/>
          <w:szCs w:val="24"/>
        </w:rPr>
        <w:t>S</w:t>
      </w:r>
      <w:r w:rsidR="0000185A">
        <w:rPr>
          <w:rFonts w:cs="Times New Roman"/>
          <w:szCs w:val="24"/>
        </w:rPr>
        <w:t xml:space="preserve">ummer </w:t>
      </w:r>
      <w:r w:rsidR="005F3FFB">
        <w:rPr>
          <w:rFonts w:cs="Times New Roman"/>
          <w:szCs w:val="24"/>
        </w:rPr>
        <w:t>of 202</w:t>
      </w:r>
      <w:r w:rsidR="0000185A">
        <w:rPr>
          <w:rFonts w:cs="Times New Roman"/>
          <w:szCs w:val="24"/>
        </w:rPr>
        <w:t>0</w:t>
      </w:r>
      <w:r w:rsidR="00BA3D18">
        <w:rPr>
          <w:rFonts w:cs="Times New Roman"/>
          <w:szCs w:val="24"/>
        </w:rPr>
        <w:t xml:space="preserve">. </w:t>
      </w:r>
      <w:r w:rsidR="00BA3D18">
        <w:rPr>
          <w:rFonts w:eastAsia="Times New Roman" w:cs="Times New Roman"/>
          <w:color w:val="000000"/>
          <w:szCs w:val="24"/>
        </w:rPr>
        <w:t>Instructional</w:t>
      </w:r>
      <w:r w:rsidR="00BA3D18" w:rsidRPr="00BA3D18">
        <w:rPr>
          <w:rFonts w:eastAsia="Times New Roman" w:cs="Times New Roman"/>
          <w:color w:val="000000"/>
          <w:szCs w:val="24"/>
        </w:rPr>
        <w:t xml:space="preserve"> resources and </w:t>
      </w:r>
      <w:r w:rsidR="00BA3D18">
        <w:rPr>
          <w:rFonts w:eastAsia="Times New Roman" w:cs="Times New Roman"/>
          <w:color w:val="000000"/>
          <w:szCs w:val="24"/>
        </w:rPr>
        <w:t xml:space="preserve">the pre-registration </w:t>
      </w:r>
      <w:r w:rsidR="008C2C0A">
        <w:rPr>
          <w:rFonts w:eastAsia="Times New Roman" w:cs="Times New Roman"/>
          <w:color w:val="000000"/>
          <w:szCs w:val="24"/>
        </w:rPr>
        <w:t xml:space="preserve">information </w:t>
      </w:r>
      <w:r w:rsidR="00BA3D18">
        <w:rPr>
          <w:rFonts w:eastAsia="Times New Roman" w:cs="Times New Roman"/>
          <w:color w:val="000000"/>
          <w:szCs w:val="24"/>
        </w:rPr>
        <w:t>for the upcoming professional development will be available through an u</w:t>
      </w:r>
      <w:r w:rsidR="00BA3D18" w:rsidRPr="00BA3D18">
        <w:rPr>
          <w:rFonts w:eastAsia="Times New Roman" w:cs="Times New Roman"/>
          <w:color w:val="000000"/>
          <w:szCs w:val="24"/>
        </w:rPr>
        <w:t>pcoming</w:t>
      </w:r>
      <w:r w:rsidR="00BA3D18">
        <w:rPr>
          <w:rFonts w:eastAsia="Times New Roman" w:cs="Times New Roman"/>
          <w:color w:val="000000"/>
          <w:szCs w:val="24"/>
        </w:rPr>
        <w:t xml:space="preserve"> </w:t>
      </w:r>
      <w:r w:rsidR="00BA3D18" w:rsidRPr="00BA3D18">
        <w:rPr>
          <w:rFonts w:eastAsia="Times New Roman" w:cs="Times New Roman"/>
          <w:color w:val="000000"/>
          <w:szCs w:val="24"/>
        </w:rPr>
        <w:t xml:space="preserve">CTE </w:t>
      </w:r>
      <w:r w:rsidR="00BA3D18">
        <w:rPr>
          <w:rFonts w:eastAsia="Times New Roman" w:cs="Times New Roman"/>
          <w:color w:val="000000"/>
          <w:szCs w:val="24"/>
        </w:rPr>
        <w:t xml:space="preserve">Director’s </w:t>
      </w:r>
      <w:r w:rsidR="00BA3D18" w:rsidRPr="00BA3D18">
        <w:rPr>
          <w:rFonts w:eastAsia="Times New Roman" w:cs="Times New Roman"/>
          <w:color w:val="000000"/>
          <w:szCs w:val="24"/>
        </w:rPr>
        <w:t>Memo.</w:t>
      </w:r>
    </w:p>
    <w:p w14:paraId="18C201B6" w14:textId="77777777" w:rsidR="005039FE" w:rsidRPr="008C2C0A" w:rsidRDefault="005039FE" w:rsidP="005039FE">
      <w:pPr>
        <w:spacing w:after="0" w:line="240" w:lineRule="auto"/>
        <w:rPr>
          <w:rFonts w:cs="Times New Roman"/>
          <w:szCs w:val="24"/>
        </w:rPr>
      </w:pPr>
    </w:p>
    <w:p w14:paraId="18754768" w14:textId="473BEDBE" w:rsidR="00F86C26" w:rsidRPr="00EB6D0F" w:rsidRDefault="004E67C5" w:rsidP="005039FE">
      <w:pPr>
        <w:pStyle w:val="Default"/>
      </w:pPr>
      <w:r w:rsidRPr="00D20E31">
        <w:t xml:space="preserve">If you have any questions, please contact the Office of Career, Technical, and Adult Education, at </w:t>
      </w:r>
      <w:hyperlink r:id="rId11" w:history="1">
        <w:r w:rsidRPr="00D20E31">
          <w:rPr>
            <w:rStyle w:val="Hyperlink"/>
          </w:rPr>
          <w:t>CTE@doe.virginia.gov</w:t>
        </w:r>
      </w:hyperlink>
      <w:r w:rsidRPr="00D20E31">
        <w:t xml:space="preserve"> or by telephone at (804) 225-</w:t>
      </w:r>
      <w:r w:rsidR="005039FE">
        <w:t>2052</w:t>
      </w:r>
      <w:r w:rsidRPr="00D20E31">
        <w:br/>
      </w:r>
    </w:p>
    <w:p w14:paraId="66411AD9" w14:textId="18A25CF0" w:rsidR="00F86C26" w:rsidRPr="00EB6D0F" w:rsidRDefault="00F86C26" w:rsidP="005039FE">
      <w:pPr>
        <w:pStyle w:val="PlainText"/>
        <w:rPr>
          <w:rFonts w:ascii="Times New Roman" w:hAnsi="Times New Roman" w:cs="Times New Roman"/>
          <w:sz w:val="24"/>
          <w:szCs w:val="24"/>
        </w:rPr>
      </w:pPr>
      <w:r>
        <w:rPr>
          <w:rFonts w:ascii="Times New Roman" w:hAnsi="Times New Roman" w:cs="Times New Roman"/>
          <w:sz w:val="24"/>
          <w:szCs w:val="24"/>
        </w:rPr>
        <w:t>JFL</w:t>
      </w:r>
      <w:r w:rsidRPr="00EB6D0F">
        <w:rPr>
          <w:rFonts w:ascii="Times New Roman" w:hAnsi="Times New Roman" w:cs="Times New Roman"/>
          <w:sz w:val="24"/>
          <w:szCs w:val="24"/>
        </w:rPr>
        <w:t>/</w:t>
      </w:r>
      <w:r w:rsidR="003E20D6">
        <w:rPr>
          <w:rFonts w:ascii="Times New Roman" w:hAnsi="Times New Roman" w:cs="Times New Roman"/>
          <w:sz w:val="24"/>
          <w:szCs w:val="24"/>
        </w:rPr>
        <w:t>GRW</w:t>
      </w:r>
      <w:r w:rsidRPr="00EB6D0F">
        <w:rPr>
          <w:rFonts w:ascii="Times New Roman" w:hAnsi="Times New Roman" w:cs="Times New Roman"/>
          <w:sz w:val="24"/>
          <w:szCs w:val="24"/>
        </w:rPr>
        <w:t>/</w:t>
      </w:r>
      <w:r w:rsidR="005039FE">
        <w:rPr>
          <w:rFonts w:ascii="Times New Roman" w:hAnsi="Times New Roman" w:cs="Times New Roman"/>
          <w:sz w:val="24"/>
          <w:szCs w:val="24"/>
        </w:rPr>
        <w:t>DSE/aar</w:t>
      </w:r>
    </w:p>
    <w:sectPr w:rsidR="00F86C26" w:rsidRPr="00EB6D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59CA6" w14:textId="77777777" w:rsidR="005509AD" w:rsidRDefault="005509AD" w:rsidP="00B25322">
      <w:pPr>
        <w:spacing w:after="0" w:line="240" w:lineRule="auto"/>
      </w:pPr>
      <w:r>
        <w:separator/>
      </w:r>
    </w:p>
  </w:endnote>
  <w:endnote w:type="continuationSeparator" w:id="0">
    <w:p w14:paraId="62963533" w14:textId="77777777" w:rsidR="005509AD" w:rsidRDefault="005509A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87E52" w14:textId="77777777" w:rsidR="005509AD" w:rsidRDefault="005509AD" w:rsidP="00B25322">
      <w:pPr>
        <w:spacing w:after="0" w:line="240" w:lineRule="auto"/>
      </w:pPr>
      <w:r>
        <w:separator/>
      </w:r>
    </w:p>
  </w:footnote>
  <w:footnote w:type="continuationSeparator" w:id="0">
    <w:p w14:paraId="3AE4FBB0" w14:textId="77777777" w:rsidR="005509AD" w:rsidRDefault="005509A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05AB"/>
    <w:multiLevelType w:val="singleLevel"/>
    <w:tmpl w:val="412EF958"/>
    <w:lvl w:ilvl="0">
      <w:start w:val="1"/>
      <w:numFmt w:val="decimal"/>
      <w:lvlText w:val="%1."/>
      <w:lvlJc w:val="left"/>
      <w:pPr>
        <w:tabs>
          <w:tab w:val="num" w:pos="720"/>
        </w:tabs>
        <w:ind w:left="720" w:hanging="720"/>
      </w:pPr>
      <w:rPr>
        <w:rFonts w:hint="default"/>
      </w:rPr>
    </w:lvl>
  </w:abstractNum>
  <w:abstractNum w:abstractNumId="1" w15:restartNumberingAfterBreak="0">
    <w:nsid w:val="18262E37"/>
    <w:multiLevelType w:val="hybridMultilevel"/>
    <w:tmpl w:val="41362DB2"/>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8416EB"/>
    <w:multiLevelType w:val="hybridMultilevel"/>
    <w:tmpl w:val="504E3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73D22"/>
    <w:multiLevelType w:val="multilevel"/>
    <w:tmpl w:val="08F6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7035B"/>
    <w:multiLevelType w:val="multilevel"/>
    <w:tmpl w:val="D0D873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88"/>
    <w:rsid w:val="0000060B"/>
    <w:rsid w:val="00001375"/>
    <w:rsid w:val="0000185A"/>
    <w:rsid w:val="000158CE"/>
    <w:rsid w:val="00055C06"/>
    <w:rsid w:val="00062952"/>
    <w:rsid w:val="000C7A2A"/>
    <w:rsid w:val="000E2D83"/>
    <w:rsid w:val="000F69BB"/>
    <w:rsid w:val="001174F7"/>
    <w:rsid w:val="00152D01"/>
    <w:rsid w:val="00167950"/>
    <w:rsid w:val="001850BC"/>
    <w:rsid w:val="001A6837"/>
    <w:rsid w:val="001B4BAF"/>
    <w:rsid w:val="001C52E9"/>
    <w:rsid w:val="001D316E"/>
    <w:rsid w:val="001E7E63"/>
    <w:rsid w:val="002165C7"/>
    <w:rsid w:val="00223595"/>
    <w:rsid w:val="00226391"/>
    <w:rsid w:val="00227B1E"/>
    <w:rsid w:val="002326D4"/>
    <w:rsid w:val="0027145D"/>
    <w:rsid w:val="002A6350"/>
    <w:rsid w:val="002B6D83"/>
    <w:rsid w:val="002D0FAA"/>
    <w:rsid w:val="002F2DAF"/>
    <w:rsid w:val="0031177E"/>
    <w:rsid w:val="00313EE5"/>
    <w:rsid w:val="003207C7"/>
    <w:rsid w:val="003238EA"/>
    <w:rsid w:val="00342FF2"/>
    <w:rsid w:val="00384F6D"/>
    <w:rsid w:val="0039356E"/>
    <w:rsid w:val="003C3583"/>
    <w:rsid w:val="003C5F37"/>
    <w:rsid w:val="003E20D6"/>
    <w:rsid w:val="003F2607"/>
    <w:rsid w:val="00404D9B"/>
    <w:rsid w:val="00406FF4"/>
    <w:rsid w:val="00426E8D"/>
    <w:rsid w:val="004427D5"/>
    <w:rsid w:val="00471D4F"/>
    <w:rsid w:val="004E67C5"/>
    <w:rsid w:val="004F6547"/>
    <w:rsid w:val="005039FE"/>
    <w:rsid w:val="00510B41"/>
    <w:rsid w:val="00515A1B"/>
    <w:rsid w:val="005509AD"/>
    <w:rsid w:val="00557D9E"/>
    <w:rsid w:val="00595322"/>
    <w:rsid w:val="005B1A41"/>
    <w:rsid w:val="005B6377"/>
    <w:rsid w:val="005E06EF"/>
    <w:rsid w:val="005E18A0"/>
    <w:rsid w:val="005F3FFB"/>
    <w:rsid w:val="00620D11"/>
    <w:rsid w:val="00625A9B"/>
    <w:rsid w:val="00653DCC"/>
    <w:rsid w:val="00696500"/>
    <w:rsid w:val="00704C3E"/>
    <w:rsid w:val="00724A2A"/>
    <w:rsid w:val="0073236D"/>
    <w:rsid w:val="00757395"/>
    <w:rsid w:val="007628D9"/>
    <w:rsid w:val="00793593"/>
    <w:rsid w:val="007A73B4"/>
    <w:rsid w:val="007B420F"/>
    <w:rsid w:val="007C0B3F"/>
    <w:rsid w:val="007C3E67"/>
    <w:rsid w:val="00851C0B"/>
    <w:rsid w:val="008631A7"/>
    <w:rsid w:val="008C2624"/>
    <w:rsid w:val="008C2C0A"/>
    <w:rsid w:val="008C4A46"/>
    <w:rsid w:val="009523D4"/>
    <w:rsid w:val="00965754"/>
    <w:rsid w:val="00977AFA"/>
    <w:rsid w:val="009B51FA"/>
    <w:rsid w:val="009C1A8F"/>
    <w:rsid w:val="009C7253"/>
    <w:rsid w:val="009D4AC0"/>
    <w:rsid w:val="009D6A23"/>
    <w:rsid w:val="00A07BFA"/>
    <w:rsid w:val="00A26586"/>
    <w:rsid w:val="00A30BC9"/>
    <w:rsid w:val="00A3144F"/>
    <w:rsid w:val="00A3767D"/>
    <w:rsid w:val="00A429C2"/>
    <w:rsid w:val="00A506E8"/>
    <w:rsid w:val="00A65EE6"/>
    <w:rsid w:val="00A67B2F"/>
    <w:rsid w:val="00AA374F"/>
    <w:rsid w:val="00AE65FD"/>
    <w:rsid w:val="00B01E92"/>
    <w:rsid w:val="00B026B5"/>
    <w:rsid w:val="00B032B5"/>
    <w:rsid w:val="00B25322"/>
    <w:rsid w:val="00B2756B"/>
    <w:rsid w:val="00B4074A"/>
    <w:rsid w:val="00B4459D"/>
    <w:rsid w:val="00B47C81"/>
    <w:rsid w:val="00B51F7B"/>
    <w:rsid w:val="00B622C5"/>
    <w:rsid w:val="00B93056"/>
    <w:rsid w:val="00BA3D18"/>
    <w:rsid w:val="00BA5177"/>
    <w:rsid w:val="00BC1A9C"/>
    <w:rsid w:val="00BE00E6"/>
    <w:rsid w:val="00C10F18"/>
    <w:rsid w:val="00C17DE5"/>
    <w:rsid w:val="00C23584"/>
    <w:rsid w:val="00C25FA1"/>
    <w:rsid w:val="00C44E87"/>
    <w:rsid w:val="00C52088"/>
    <w:rsid w:val="00C91657"/>
    <w:rsid w:val="00CA70A4"/>
    <w:rsid w:val="00CF0233"/>
    <w:rsid w:val="00D14EDC"/>
    <w:rsid w:val="00D37222"/>
    <w:rsid w:val="00D41BA3"/>
    <w:rsid w:val="00D534B4"/>
    <w:rsid w:val="00D55B56"/>
    <w:rsid w:val="00D71ADA"/>
    <w:rsid w:val="00DA14B1"/>
    <w:rsid w:val="00DD368F"/>
    <w:rsid w:val="00DE36A1"/>
    <w:rsid w:val="00DE4451"/>
    <w:rsid w:val="00E12E2F"/>
    <w:rsid w:val="00E14E88"/>
    <w:rsid w:val="00E24D1A"/>
    <w:rsid w:val="00E4085F"/>
    <w:rsid w:val="00E477C5"/>
    <w:rsid w:val="00E760E6"/>
    <w:rsid w:val="00E85E49"/>
    <w:rsid w:val="00EC0EC3"/>
    <w:rsid w:val="00ED79E7"/>
    <w:rsid w:val="00F41943"/>
    <w:rsid w:val="00F81813"/>
    <w:rsid w:val="00F86C26"/>
    <w:rsid w:val="00FB0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3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C44E87"/>
    <w:rPr>
      <w:color w:val="800080" w:themeColor="followedHyperlink"/>
      <w:u w:val="single"/>
    </w:rPr>
  </w:style>
  <w:style w:type="paragraph" w:styleId="PlainText">
    <w:name w:val="Plain Text"/>
    <w:basedOn w:val="Normal"/>
    <w:link w:val="PlainTextChar"/>
    <w:rsid w:val="00F86C2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86C26"/>
    <w:rPr>
      <w:rFonts w:ascii="Courier New" w:eastAsia="Times New Roman" w:hAnsi="Courier New" w:cs="Courier New"/>
      <w:sz w:val="20"/>
      <w:szCs w:val="20"/>
    </w:rPr>
  </w:style>
  <w:style w:type="paragraph" w:customStyle="1" w:styleId="Default">
    <w:name w:val="Default"/>
    <w:rsid w:val="00F86C2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umberedIndent">
    <w:name w:val="Numbered Indent"/>
    <w:rsid w:val="00F86C26"/>
    <w:pPr>
      <w:tabs>
        <w:tab w:val="left" w:pos="720"/>
      </w:tabs>
      <w:suppressAutoHyphens/>
      <w:spacing w:before="120" w:after="0" w:line="240" w:lineRule="auto"/>
      <w:ind w:left="720" w:hanging="360"/>
    </w:pPr>
    <w:rPr>
      <w:rFonts w:ascii="Arial" w:eastAsia="Arial" w:hAnsi="Arial" w:cs="Times New Roman"/>
      <w:sz w:val="18"/>
      <w:szCs w:val="20"/>
      <w:lang w:eastAsia="ar-SA"/>
    </w:rPr>
  </w:style>
  <w:style w:type="paragraph" w:styleId="NormalWeb">
    <w:name w:val="Normal (Web)"/>
    <w:basedOn w:val="Normal"/>
    <w:uiPriority w:val="99"/>
    <w:unhideWhenUsed/>
    <w:rsid w:val="00F86C26"/>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4E67C5"/>
    <w:pPr>
      <w:spacing w:after="0" w:line="240" w:lineRule="auto"/>
    </w:pPr>
    <w:rPr>
      <w:rFonts w:cstheme="minorHAnsi"/>
    </w:rPr>
  </w:style>
  <w:style w:type="table" w:styleId="TableGridLight">
    <w:name w:val="Grid Table Light"/>
    <w:basedOn w:val="TableNormal"/>
    <w:uiPriority w:val="40"/>
    <w:rsid w:val="004E67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BA3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4322">
      <w:bodyDiv w:val="1"/>
      <w:marLeft w:val="0"/>
      <w:marRight w:val="0"/>
      <w:marTop w:val="0"/>
      <w:marBottom w:val="0"/>
      <w:divBdr>
        <w:top w:val="none" w:sz="0" w:space="0" w:color="auto"/>
        <w:left w:val="none" w:sz="0" w:space="0" w:color="auto"/>
        <w:bottom w:val="none" w:sz="0" w:space="0" w:color="auto"/>
        <w:right w:val="none" w:sz="0" w:space="0" w:color="auto"/>
      </w:divBdr>
    </w:div>
    <w:div w:id="1028263905">
      <w:bodyDiv w:val="1"/>
      <w:marLeft w:val="0"/>
      <w:marRight w:val="0"/>
      <w:marTop w:val="0"/>
      <w:marBottom w:val="0"/>
      <w:divBdr>
        <w:top w:val="none" w:sz="0" w:space="0" w:color="auto"/>
        <w:left w:val="none" w:sz="0" w:space="0" w:color="auto"/>
        <w:bottom w:val="none" w:sz="0" w:space="0" w:color="auto"/>
        <w:right w:val="none" w:sz="0" w:space="0" w:color="auto"/>
      </w:divBdr>
    </w:div>
    <w:div w:id="16932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E@doe.virginia.gov" TargetMode="External"/><Relationship Id="rId5" Type="http://schemas.openxmlformats.org/officeDocument/2006/relationships/webSettings" Target="webSettings.xml"/><Relationship Id="rId10" Type="http://schemas.openxmlformats.org/officeDocument/2006/relationships/hyperlink" Target="http://www.doe.virginia.gov/instruction/career_technical/administration/index.shtml"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D1763-C136-479E-A866-F6C5041F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XXX-18.dotx</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Superintendent's Memo 097-20</vt:lpstr>
    </vt:vector>
  </TitlesOfParts>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097-20</dc:title>
  <dc:creator/>
  <cp:lastModifiedBy/>
  <cp:revision>1</cp:revision>
  <dcterms:created xsi:type="dcterms:W3CDTF">2020-04-14T18:52:00Z</dcterms:created>
  <dcterms:modified xsi:type="dcterms:W3CDTF">2020-04-14T18:52:00Z</dcterms:modified>
</cp:coreProperties>
</file>