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1A520E">
        <w:rPr>
          <w:szCs w:val="24"/>
        </w:rPr>
        <w:t>0</w:t>
      </w:r>
      <w:r w:rsidR="00BD4D28">
        <w:rPr>
          <w:szCs w:val="24"/>
        </w:rPr>
        <w:t>20</w:t>
      </w:r>
      <w:r w:rsidR="00FB24B9">
        <w:rPr>
          <w:szCs w:val="24"/>
        </w:rPr>
        <w:t>-20</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682218">
        <w:rPr>
          <w:szCs w:val="24"/>
        </w:rPr>
        <w:t>January 24, 2020</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682218" w:rsidRPr="00682218">
        <w:rPr>
          <w:szCs w:val="24"/>
        </w:rPr>
        <w:t>Black History Month Resources</w:t>
      </w:r>
    </w:p>
    <w:p w:rsidR="00682218" w:rsidRDefault="00682218" w:rsidP="00595774">
      <w:pPr>
        <w:pStyle w:val="NoSpacing"/>
      </w:pPr>
      <w:r>
        <w:t>As our natio</w:t>
      </w:r>
      <w:bookmarkStart w:id="0" w:name="_GoBack"/>
      <w:bookmarkEnd w:id="0"/>
      <w:r>
        <w:t>n</w:t>
      </w:r>
      <w:r w:rsidRPr="007563C5">
        <w:t xml:space="preserve"> observe</w:t>
      </w:r>
      <w:r>
        <w:t>s</w:t>
      </w:r>
      <w:r w:rsidRPr="007563C5">
        <w:t xml:space="preserve"> Black History Month, </w:t>
      </w:r>
      <w:r>
        <w:t>t</w:t>
      </w:r>
      <w:r w:rsidRPr="007563C5">
        <w:t xml:space="preserve">he Virginia Department of Education </w:t>
      </w:r>
      <w:r>
        <w:t xml:space="preserve">(VDOE) </w:t>
      </w:r>
      <w:r w:rsidRPr="007563C5">
        <w:t xml:space="preserve">is pleased to </w:t>
      </w:r>
      <w:r w:rsidRPr="00595774">
        <w:t>provide</w:t>
      </w:r>
      <w:r w:rsidRPr="007563C5">
        <w:t xml:space="preserve"> school divisions</w:t>
      </w:r>
      <w:r w:rsidR="00E36BAA">
        <w:t xml:space="preserve"> </w:t>
      </w:r>
      <w:r w:rsidRPr="007563C5">
        <w:t>with Black History Month resources</w:t>
      </w:r>
      <w:r w:rsidR="00E36BAA">
        <w:t xml:space="preserve"> that</w:t>
      </w:r>
      <w:r>
        <w:t xml:space="preserve"> honor</w:t>
      </w:r>
      <w:r w:rsidRPr="007563C5">
        <w:t xml:space="preserve"> African Americans </w:t>
      </w:r>
      <w:r>
        <w:t>and celebrate their achievements and contributions to</w:t>
      </w:r>
      <w:r w:rsidRPr="007563C5">
        <w:t xml:space="preserve"> America</w:t>
      </w:r>
      <w:r>
        <w:t xml:space="preserve">. </w:t>
      </w:r>
    </w:p>
    <w:p w:rsidR="00682218" w:rsidRDefault="00682218" w:rsidP="00682218">
      <w:pPr>
        <w:spacing w:after="0" w:line="240" w:lineRule="auto"/>
        <w:rPr>
          <w:rFonts w:eastAsia="Times New Roman" w:cs="Times New Roman"/>
          <w:szCs w:val="24"/>
        </w:rPr>
      </w:pPr>
    </w:p>
    <w:p w:rsidR="00682218" w:rsidRDefault="00682218" w:rsidP="00682218">
      <w:pPr>
        <w:spacing w:after="0" w:line="240" w:lineRule="auto"/>
        <w:rPr>
          <w:rFonts w:eastAsia="Times New Roman" w:cs="Times New Roman"/>
          <w:szCs w:val="24"/>
        </w:rPr>
      </w:pPr>
      <w:r>
        <w:rPr>
          <w:rFonts w:eastAsia="Times New Roman" w:cs="Times New Roman"/>
          <w:szCs w:val="24"/>
        </w:rPr>
        <w:t xml:space="preserve">In 1925, </w:t>
      </w:r>
      <w:r w:rsidRPr="00D22D0B">
        <w:rPr>
          <w:rFonts w:eastAsia="Times New Roman" w:cs="Times New Roman"/>
          <w:szCs w:val="24"/>
        </w:rPr>
        <w:t>Carter G. Woodson a</w:t>
      </w:r>
      <w:r>
        <w:rPr>
          <w:rFonts w:eastAsia="Times New Roman" w:cs="Times New Roman"/>
          <w:szCs w:val="24"/>
        </w:rPr>
        <w:t>nd the organization he founded–</w:t>
      </w:r>
      <w:r w:rsidRPr="00D22D0B">
        <w:rPr>
          <w:rFonts w:eastAsia="Times New Roman" w:cs="Times New Roman"/>
          <w:szCs w:val="24"/>
        </w:rPr>
        <w:t>the Association for the Study of N</w:t>
      </w:r>
      <w:r>
        <w:rPr>
          <w:rFonts w:eastAsia="Times New Roman" w:cs="Times New Roman"/>
          <w:szCs w:val="24"/>
        </w:rPr>
        <w:t>egro Life and History (ASNLH)–</w:t>
      </w:r>
      <w:r w:rsidRPr="00D22D0B">
        <w:rPr>
          <w:rFonts w:eastAsia="Times New Roman" w:cs="Times New Roman"/>
          <w:szCs w:val="24"/>
        </w:rPr>
        <w:t xml:space="preserve">conceived and announced Negro History Week. </w:t>
      </w:r>
      <w:r>
        <w:rPr>
          <w:rFonts w:eastAsia="Times New Roman" w:cs="Times New Roman"/>
          <w:szCs w:val="24"/>
        </w:rPr>
        <w:t xml:space="preserve">Expanded to a month in 1976, </w:t>
      </w:r>
      <w:r w:rsidRPr="00D22D0B">
        <w:rPr>
          <w:rFonts w:eastAsia="Times New Roman" w:cs="Times New Roman"/>
          <w:szCs w:val="24"/>
        </w:rPr>
        <w:t xml:space="preserve">ASNLH, now the </w:t>
      </w:r>
      <w:hyperlink r:id="rId10" w:history="1">
        <w:r w:rsidRPr="007563C5">
          <w:rPr>
            <w:rFonts w:eastAsia="Times New Roman" w:cs="Times New Roman"/>
            <w:color w:val="0000FF"/>
            <w:szCs w:val="24"/>
            <w:u w:val="single"/>
          </w:rPr>
          <w:t>Association for the Study of African American Life and History (ASALH)</w:t>
        </w:r>
      </w:hyperlink>
      <w:r>
        <w:rPr>
          <w:rFonts w:eastAsia="Times New Roman" w:cs="Times New Roman"/>
          <w:szCs w:val="24"/>
        </w:rPr>
        <w:t xml:space="preserve">, </w:t>
      </w:r>
      <w:r w:rsidRPr="00D22D0B">
        <w:rPr>
          <w:rFonts w:eastAsia="Times New Roman" w:cs="Times New Roman"/>
          <w:szCs w:val="24"/>
        </w:rPr>
        <w:t xml:space="preserve">continues to promote the study of </w:t>
      </w:r>
      <w:r w:rsidR="00E36BAA">
        <w:rPr>
          <w:rFonts w:eastAsia="Times New Roman" w:cs="Times New Roman"/>
          <w:szCs w:val="24"/>
        </w:rPr>
        <w:t>Black</w:t>
      </w:r>
      <w:r>
        <w:rPr>
          <w:rFonts w:eastAsia="Times New Roman" w:cs="Times New Roman"/>
          <w:szCs w:val="24"/>
        </w:rPr>
        <w:t xml:space="preserve"> </w:t>
      </w:r>
      <w:r w:rsidRPr="00D22D0B">
        <w:rPr>
          <w:rFonts w:eastAsia="Times New Roman" w:cs="Times New Roman"/>
          <w:szCs w:val="24"/>
        </w:rPr>
        <w:t>history all year.</w:t>
      </w:r>
    </w:p>
    <w:p w:rsidR="00682218" w:rsidRDefault="00682218" w:rsidP="00682218">
      <w:pPr>
        <w:spacing w:after="0" w:line="240" w:lineRule="auto"/>
        <w:rPr>
          <w:rFonts w:eastAsia="Times New Roman" w:cs="Times New Roman"/>
          <w:szCs w:val="24"/>
        </w:rPr>
      </w:pPr>
    </w:p>
    <w:p w:rsidR="00682218" w:rsidRPr="00EE4C54" w:rsidRDefault="00682218" w:rsidP="00682218">
      <w:pPr>
        <w:spacing w:after="0" w:line="240" w:lineRule="auto"/>
        <w:rPr>
          <w:rFonts w:eastAsia="Times New Roman" w:cs="Times New Roman"/>
          <w:szCs w:val="24"/>
        </w:rPr>
      </w:pPr>
      <w:r>
        <w:rPr>
          <w:rFonts w:eastAsia="Times New Roman" w:cs="Times New Roman"/>
          <w:szCs w:val="24"/>
        </w:rPr>
        <w:t xml:space="preserve">Each year, the ASALH establishes a </w:t>
      </w:r>
      <w:r w:rsidRPr="003B4F69">
        <w:rPr>
          <w:rFonts w:eastAsia="Times New Roman" w:cs="Times New Roman"/>
          <w:szCs w:val="24"/>
        </w:rPr>
        <w:t xml:space="preserve">Black History Month </w:t>
      </w:r>
      <w:r>
        <w:rPr>
          <w:rFonts w:eastAsia="Times New Roman" w:cs="Times New Roman"/>
          <w:szCs w:val="24"/>
        </w:rPr>
        <w:t xml:space="preserve">theme that emphasizes important developments relevant to the Black experience; </w:t>
      </w:r>
      <w:r w:rsidRPr="00EE4C54">
        <w:rPr>
          <w:rFonts w:eastAsia="Times New Roman" w:cs="Times New Roman"/>
          <w:szCs w:val="24"/>
        </w:rPr>
        <w:t xml:space="preserve">the </w:t>
      </w:r>
      <w:hyperlink r:id="rId11" w:history="1">
        <w:r w:rsidRPr="00DB3CDC">
          <w:rPr>
            <w:rStyle w:val="Hyperlink"/>
            <w:rFonts w:eastAsia="Times New Roman" w:cs="Times New Roman"/>
            <w:szCs w:val="24"/>
          </w:rPr>
          <w:t>2020 theme</w:t>
        </w:r>
      </w:hyperlink>
      <w:r w:rsidRPr="00EE4C54">
        <w:rPr>
          <w:rFonts w:eastAsia="Times New Roman" w:cs="Times New Roman"/>
          <w:szCs w:val="24"/>
        </w:rPr>
        <w:t xml:space="preserve"> is African Americans and the Vote</w:t>
      </w:r>
      <w:r>
        <w:rPr>
          <w:rFonts w:eastAsia="Times New Roman" w:cs="Times New Roman"/>
          <w:szCs w:val="24"/>
        </w:rPr>
        <w:t xml:space="preserve">, which recognizes that although 2020 </w:t>
      </w:r>
      <w:r w:rsidRPr="00EE4C54">
        <w:rPr>
          <w:rFonts w:eastAsia="Times New Roman" w:cs="Times New Roman"/>
          <w:szCs w:val="24"/>
        </w:rPr>
        <w:t>marks the centennial of the Nineteenth Amendment</w:t>
      </w:r>
      <w:r>
        <w:rPr>
          <w:rFonts w:eastAsia="Times New Roman" w:cs="Times New Roman"/>
          <w:szCs w:val="24"/>
        </w:rPr>
        <w:t xml:space="preserve"> granting women the right to vote, as well as </w:t>
      </w:r>
      <w:r w:rsidRPr="00EE4C54">
        <w:rPr>
          <w:rFonts w:eastAsia="Times New Roman" w:cs="Times New Roman"/>
          <w:szCs w:val="24"/>
        </w:rPr>
        <w:t>the sesquicentenn</w:t>
      </w:r>
      <w:r>
        <w:rPr>
          <w:rFonts w:eastAsia="Times New Roman" w:cs="Times New Roman"/>
          <w:szCs w:val="24"/>
        </w:rPr>
        <w:t xml:space="preserve">ial of the Fifteenth Amendment granting </w:t>
      </w:r>
      <w:r w:rsidRPr="00EE4C54">
        <w:rPr>
          <w:rFonts w:eastAsia="Times New Roman" w:cs="Times New Roman"/>
          <w:szCs w:val="24"/>
        </w:rPr>
        <w:t>Black</w:t>
      </w:r>
      <w:r>
        <w:rPr>
          <w:rFonts w:eastAsia="Times New Roman" w:cs="Times New Roman"/>
          <w:szCs w:val="24"/>
        </w:rPr>
        <w:t xml:space="preserve"> men the right to vote, the African American struggle for equal access to </w:t>
      </w:r>
      <w:r w:rsidR="00E36BAA">
        <w:rPr>
          <w:rFonts w:eastAsia="Times New Roman" w:cs="Times New Roman"/>
          <w:szCs w:val="24"/>
        </w:rPr>
        <w:t xml:space="preserve">voting rights </w:t>
      </w:r>
      <w:r>
        <w:rPr>
          <w:rFonts w:eastAsia="Times New Roman" w:cs="Times New Roman"/>
          <w:szCs w:val="24"/>
        </w:rPr>
        <w:t>has continued well into the 21</w:t>
      </w:r>
      <w:r w:rsidRPr="00095D9C">
        <w:rPr>
          <w:rFonts w:eastAsia="Times New Roman" w:cs="Times New Roman"/>
          <w:szCs w:val="24"/>
          <w:vertAlign w:val="superscript"/>
        </w:rPr>
        <w:t>st</w:t>
      </w:r>
      <w:r>
        <w:rPr>
          <w:rFonts w:eastAsia="Times New Roman" w:cs="Times New Roman"/>
          <w:szCs w:val="24"/>
        </w:rPr>
        <w:t xml:space="preserve"> century. </w:t>
      </w:r>
      <w:r>
        <w:t xml:space="preserve">Through voting-rights campaigns and legal suits from the turn of the twentieth century to the mid-1960s, African Americans made their voices heard, highlighting the synonymous nature of Black history and American history. </w:t>
      </w:r>
    </w:p>
    <w:p w:rsidR="00682218" w:rsidRDefault="00682218" w:rsidP="00682218">
      <w:pPr>
        <w:spacing w:after="0" w:line="240" w:lineRule="auto"/>
        <w:rPr>
          <w:rFonts w:eastAsia="Times New Roman" w:cs="Times New Roman"/>
          <w:szCs w:val="24"/>
        </w:rPr>
      </w:pPr>
    </w:p>
    <w:p w:rsidR="00682218" w:rsidRDefault="00682218" w:rsidP="00682218">
      <w:pPr>
        <w:spacing w:after="0" w:line="240" w:lineRule="auto"/>
        <w:rPr>
          <w:rFonts w:eastAsia="Times New Roman" w:cs="Times New Roman"/>
          <w:szCs w:val="24"/>
        </w:rPr>
      </w:pPr>
      <w:r w:rsidRPr="00384CDB">
        <w:rPr>
          <w:rFonts w:eastAsia="Times New Roman" w:cs="Times New Roman"/>
          <w:szCs w:val="24"/>
        </w:rPr>
        <w:t xml:space="preserve">Local school divisions are encouraged to seek and develop instructional and community programing </w:t>
      </w:r>
      <w:r>
        <w:rPr>
          <w:rFonts w:eastAsia="Times New Roman" w:cs="Times New Roman"/>
          <w:szCs w:val="24"/>
        </w:rPr>
        <w:t xml:space="preserve">that highlights Black history not only during February, but also </w:t>
      </w:r>
      <w:r w:rsidRPr="00384CDB">
        <w:rPr>
          <w:rFonts w:eastAsia="Times New Roman" w:cs="Times New Roman"/>
          <w:szCs w:val="24"/>
        </w:rPr>
        <w:t>throughout the entire year</w:t>
      </w:r>
      <w:r>
        <w:rPr>
          <w:rFonts w:eastAsia="Times New Roman" w:cs="Times New Roman"/>
          <w:szCs w:val="24"/>
        </w:rPr>
        <w:t xml:space="preserve">. For greater understanding and deeper connection, activities should aim </w:t>
      </w:r>
      <w:r w:rsidRPr="00384CDB">
        <w:rPr>
          <w:rFonts w:eastAsia="Times New Roman" w:cs="Times New Roman"/>
          <w:szCs w:val="24"/>
        </w:rPr>
        <w:t>to:</w:t>
      </w:r>
    </w:p>
    <w:p w:rsidR="00682218" w:rsidRPr="00384CDB" w:rsidRDefault="00682218" w:rsidP="00682218">
      <w:pPr>
        <w:spacing w:after="0" w:line="240" w:lineRule="auto"/>
        <w:rPr>
          <w:rFonts w:eastAsia="Times New Roman" w:cs="Times New Roman"/>
          <w:szCs w:val="24"/>
        </w:rPr>
      </w:pPr>
    </w:p>
    <w:p w:rsidR="00682218" w:rsidRPr="00384CDB" w:rsidRDefault="00682218" w:rsidP="00682218">
      <w:pPr>
        <w:numPr>
          <w:ilvl w:val="0"/>
          <w:numId w:val="3"/>
        </w:numPr>
        <w:spacing w:after="0" w:line="240" w:lineRule="auto"/>
        <w:rPr>
          <w:rFonts w:eastAsia="Times New Roman" w:cs="Times New Roman"/>
          <w:szCs w:val="24"/>
        </w:rPr>
      </w:pPr>
      <w:r w:rsidRPr="00384CDB">
        <w:rPr>
          <w:rFonts w:eastAsia="Times New Roman" w:cs="Times New Roman"/>
          <w:szCs w:val="24"/>
        </w:rPr>
        <w:t>Engage students, teachers, parents and the community at large;</w:t>
      </w:r>
    </w:p>
    <w:p w:rsidR="00682218" w:rsidRPr="00384CDB" w:rsidRDefault="00682218" w:rsidP="00682218">
      <w:pPr>
        <w:numPr>
          <w:ilvl w:val="0"/>
          <w:numId w:val="3"/>
        </w:numPr>
        <w:spacing w:after="0" w:line="240" w:lineRule="auto"/>
        <w:rPr>
          <w:rFonts w:eastAsia="Times New Roman" w:cs="Times New Roman"/>
          <w:szCs w:val="24"/>
        </w:rPr>
      </w:pPr>
      <w:r w:rsidRPr="00384CDB">
        <w:rPr>
          <w:rFonts w:eastAsia="Times New Roman" w:cs="Times New Roman"/>
          <w:szCs w:val="24"/>
        </w:rPr>
        <w:t>Align with the na</w:t>
      </w:r>
      <w:r>
        <w:rPr>
          <w:rFonts w:eastAsia="Times New Roman" w:cs="Times New Roman"/>
          <w:szCs w:val="24"/>
        </w:rPr>
        <w:t xml:space="preserve">tional theme for Black History Month; and </w:t>
      </w:r>
    </w:p>
    <w:p w:rsidR="00682218" w:rsidRPr="00C51F9F" w:rsidRDefault="00682218" w:rsidP="00682218">
      <w:pPr>
        <w:numPr>
          <w:ilvl w:val="0"/>
          <w:numId w:val="3"/>
        </w:numPr>
        <w:spacing w:after="0" w:line="240" w:lineRule="auto"/>
        <w:rPr>
          <w:rFonts w:eastAsia="Times New Roman" w:cs="Times New Roman"/>
          <w:szCs w:val="24"/>
        </w:rPr>
      </w:pPr>
      <w:r w:rsidRPr="0057305B">
        <w:rPr>
          <w:rFonts w:eastAsia="Times New Roman" w:cs="Times New Roman"/>
          <w:szCs w:val="24"/>
        </w:rPr>
        <w:t>Provide opportunities for ALL staff to enhance their understanding of the role of African American</w:t>
      </w:r>
      <w:r>
        <w:rPr>
          <w:rFonts w:eastAsia="Times New Roman" w:cs="Times New Roman"/>
          <w:szCs w:val="24"/>
        </w:rPr>
        <w:t>s in helping to build America.</w:t>
      </w:r>
    </w:p>
    <w:p w:rsidR="00682218" w:rsidRDefault="00682218" w:rsidP="00682218">
      <w:pPr>
        <w:spacing w:after="0" w:line="240" w:lineRule="auto"/>
        <w:rPr>
          <w:rFonts w:eastAsia="Times New Roman" w:cs="Times New Roman"/>
          <w:szCs w:val="24"/>
        </w:rPr>
      </w:pPr>
    </w:p>
    <w:p w:rsidR="00682218" w:rsidRDefault="00682218" w:rsidP="00682218">
      <w:pPr>
        <w:spacing w:after="0" w:line="240" w:lineRule="auto"/>
        <w:rPr>
          <w:rFonts w:eastAsia="Times New Roman" w:cs="Times New Roman"/>
          <w:szCs w:val="24"/>
        </w:rPr>
      </w:pPr>
    </w:p>
    <w:p w:rsidR="00682218" w:rsidRDefault="00682218" w:rsidP="00682218">
      <w:pPr>
        <w:spacing w:after="0" w:line="240" w:lineRule="auto"/>
        <w:rPr>
          <w:rFonts w:eastAsia="Times New Roman" w:cs="Times New Roman"/>
          <w:szCs w:val="24"/>
        </w:rPr>
      </w:pPr>
      <w:r>
        <w:rPr>
          <w:rFonts w:eastAsia="Times New Roman" w:cs="Times New Roman"/>
          <w:szCs w:val="24"/>
        </w:rPr>
        <w:lastRenderedPageBreak/>
        <w:t>In 2016, 44</w:t>
      </w:r>
      <w:r w:rsidRPr="004C2F41">
        <w:rPr>
          <w:rFonts w:eastAsia="Times New Roman" w:cs="Times New Roman"/>
          <w:szCs w:val="24"/>
          <w:vertAlign w:val="superscript"/>
        </w:rPr>
        <w:t>th</w:t>
      </w:r>
      <w:r>
        <w:rPr>
          <w:rFonts w:eastAsia="Times New Roman" w:cs="Times New Roman"/>
          <w:szCs w:val="24"/>
        </w:rPr>
        <w:t xml:space="preserve"> President, Barack Obama expressed his sentiments regarding B</w:t>
      </w:r>
      <w:r w:rsidRPr="004C2F41">
        <w:rPr>
          <w:rFonts w:eastAsia="Times New Roman" w:cs="Times New Roman"/>
          <w:szCs w:val="24"/>
        </w:rPr>
        <w:t>la</w:t>
      </w:r>
      <w:r>
        <w:rPr>
          <w:rFonts w:eastAsia="Times New Roman" w:cs="Times New Roman"/>
          <w:szCs w:val="24"/>
        </w:rPr>
        <w:t>ck History Month, noting that Black history is integral to America’s story:</w:t>
      </w:r>
    </w:p>
    <w:p w:rsidR="00682218" w:rsidRDefault="00682218" w:rsidP="00682218">
      <w:pPr>
        <w:spacing w:after="0" w:line="240" w:lineRule="auto"/>
        <w:rPr>
          <w:rFonts w:eastAsia="Times New Roman" w:cs="Times New Roman"/>
          <w:szCs w:val="24"/>
        </w:rPr>
      </w:pPr>
    </w:p>
    <w:p w:rsidR="00682218" w:rsidRPr="001A520E" w:rsidRDefault="00682218" w:rsidP="00682218">
      <w:pPr>
        <w:spacing w:after="0" w:line="240" w:lineRule="auto"/>
        <w:rPr>
          <w:rFonts w:eastAsia="Times New Roman" w:cs="Times New Roman"/>
          <w:szCs w:val="24"/>
        </w:rPr>
      </w:pPr>
      <w:r>
        <w:rPr>
          <w:rFonts w:eastAsia="Times New Roman" w:cs="Times New Roman"/>
          <w:i/>
          <w:szCs w:val="24"/>
        </w:rPr>
        <w:t>…</w:t>
      </w:r>
      <w:r w:rsidRPr="004C2F41">
        <w:rPr>
          <w:rFonts w:eastAsia="Times New Roman" w:cs="Times New Roman"/>
          <w:i/>
          <w:szCs w:val="24"/>
        </w:rPr>
        <w:t>Black History Month shouldn’t be treated as though it is somehow separate from our</w:t>
      </w:r>
      <w:r>
        <w:rPr>
          <w:rFonts w:eastAsia="Times New Roman" w:cs="Times New Roman"/>
          <w:i/>
          <w:szCs w:val="24"/>
        </w:rPr>
        <w:t xml:space="preserve"> collective American history </w:t>
      </w:r>
      <w:r w:rsidRPr="004C2F41">
        <w:rPr>
          <w:rFonts w:eastAsia="Times New Roman" w:cs="Times New Roman"/>
          <w:i/>
          <w:szCs w:val="24"/>
        </w:rPr>
        <w:t>or somehow just boiled down to a compilation of greatest hits from the March on Washington, or fr</w:t>
      </w:r>
      <w:r>
        <w:rPr>
          <w:rFonts w:eastAsia="Times New Roman" w:cs="Times New Roman"/>
          <w:i/>
          <w:szCs w:val="24"/>
        </w:rPr>
        <w:t>om some of our sports heroes…</w:t>
      </w:r>
      <w:r w:rsidRPr="004C2F41">
        <w:rPr>
          <w:rFonts w:eastAsia="Times New Roman" w:cs="Times New Roman"/>
          <w:i/>
          <w:szCs w:val="24"/>
        </w:rPr>
        <w:t xml:space="preserve"> we know that this should be more than just a comm</w:t>
      </w:r>
      <w:r>
        <w:rPr>
          <w:rFonts w:eastAsia="Times New Roman" w:cs="Times New Roman"/>
          <w:i/>
          <w:szCs w:val="24"/>
        </w:rPr>
        <w:t>emoration of particular events…</w:t>
      </w:r>
      <w:r w:rsidRPr="004C2F41">
        <w:rPr>
          <w:color w:val="333333"/>
          <w:spacing w:val="2"/>
          <w:sz w:val="14"/>
          <w:szCs w:val="14"/>
          <w:shd w:val="clear" w:color="auto" w:fill="FFFFFF"/>
        </w:rPr>
        <w:t xml:space="preserve"> </w:t>
      </w:r>
      <w:r w:rsidRPr="004C2F41">
        <w:rPr>
          <w:rFonts w:eastAsia="Times New Roman" w:cs="Times New Roman"/>
          <w:i/>
          <w:szCs w:val="24"/>
        </w:rPr>
        <w:t>It’s about the lived, shared experience of all African Americans, high and low, famous and obscure, and how those experiences have shaped and challenged and ultimately stren</w:t>
      </w:r>
      <w:r w:rsidR="001A520E">
        <w:rPr>
          <w:rFonts w:eastAsia="Times New Roman" w:cs="Times New Roman"/>
          <w:i/>
          <w:szCs w:val="24"/>
        </w:rPr>
        <w:t>gthened America.</w:t>
      </w:r>
    </w:p>
    <w:p w:rsidR="00682218" w:rsidRPr="0057305B" w:rsidRDefault="00682218" w:rsidP="00682218">
      <w:pPr>
        <w:spacing w:after="0" w:line="240" w:lineRule="auto"/>
        <w:rPr>
          <w:rFonts w:eastAsia="Times New Roman" w:cs="Times New Roman"/>
          <w:szCs w:val="24"/>
        </w:rPr>
      </w:pPr>
    </w:p>
    <w:p w:rsidR="00682218" w:rsidRPr="007563C5" w:rsidRDefault="00682218" w:rsidP="00682218">
      <w:pPr>
        <w:spacing w:after="0" w:line="240" w:lineRule="auto"/>
        <w:rPr>
          <w:rFonts w:eastAsia="Times New Roman" w:cs="Times New Roman"/>
          <w:szCs w:val="24"/>
        </w:rPr>
      </w:pPr>
      <w:r>
        <w:rPr>
          <w:rFonts w:eastAsia="Times New Roman" w:cs="Times New Roman"/>
          <w:szCs w:val="24"/>
        </w:rPr>
        <w:t xml:space="preserve">Lending credence to the essence of the aforementioned quote, the materials </w:t>
      </w:r>
      <w:r w:rsidR="00E36BAA">
        <w:rPr>
          <w:rFonts w:eastAsia="Times New Roman" w:cs="Times New Roman"/>
          <w:szCs w:val="24"/>
        </w:rPr>
        <w:t xml:space="preserve">enclosed </w:t>
      </w:r>
      <w:r>
        <w:rPr>
          <w:rFonts w:eastAsia="Times New Roman" w:cs="Times New Roman"/>
          <w:szCs w:val="24"/>
        </w:rPr>
        <w:t xml:space="preserve">emphasize an interdisciplinary approach that extends Black History Month and the Black narrative beyond merely twenty-eight days of highlights to creating inclusive, year round lesson plans. </w:t>
      </w:r>
      <w:r w:rsidRPr="00095D9C">
        <w:rPr>
          <w:rFonts w:eastAsia="Times New Roman" w:cs="Times New Roman"/>
          <w:szCs w:val="24"/>
        </w:rPr>
        <w:t>The resources below support local school divisio</w:t>
      </w:r>
      <w:r>
        <w:rPr>
          <w:rFonts w:eastAsia="Times New Roman" w:cs="Times New Roman"/>
          <w:szCs w:val="24"/>
        </w:rPr>
        <w:t>n’s instructional programming:</w:t>
      </w:r>
    </w:p>
    <w:p w:rsidR="00682218" w:rsidRPr="001A520E" w:rsidRDefault="00682218" w:rsidP="00682218">
      <w:pPr>
        <w:spacing w:after="0" w:line="240" w:lineRule="auto"/>
        <w:rPr>
          <w:rFonts w:eastAsia="Times New Roman" w:cs="Times New Roman"/>
          <w:szCs w:val="24"/>
        </w:rPr>
      </w:pPr>
    </w:p>
    <w:p w:rsidR="00682218" w:rsidRPr="00EA6169" w:rsidRDefault="00682218" w:rsidP="00682218">
      <w:pPr>
        <w:pStyle w:val="ListParagraph"/>
        <w:numPr>
          <w:ilvl w:val="0"/>
          <w:numId w:val="2"/>
        </w:numPr>
        <w:rPr>
          <w:szCs w:val="24"/>
        </w:rPr>
      </w:pPr>
      <w:r w:rsidRPr="00EA6169">
        <w:rPr>
          <w:szCs w:val="24"/>
        </w:rPr>
        <w:t xml:space="preserve">The </w:t>
      </w:r>
      <w:hyperlink r:id="rId12" w:history="1">
        <w:r w:rsidRPr="00EA6169">
          <w:rPr>
            <w:color w:val="0000FF"/>
            <w:szCs w:val="24"/>
            <w:u w:val="single"/>
          </w:rPr>
          <w:t>National Museum of African American History and Culture</w:t>
        </w:r>
      </w:hyperlink>
      <w:r w:rsidRPr="00EA6169">
        <w:rPr>
          <w:szCs w:val="24"/>
        </w:rPr>
        <w:t xml:space="preserve"> is the only national museum devoted exclusively to the documentation of African American life, history, and culture</w:t>
      </w:r>
      <w:r>
        <w:rPr>
          <w:szCs w:val="24"/>
        </w:rPr>
        <w:t xml:space="preserve"> E</w:t>
      </w:r>
      <w:r w:rsidRPr="00EA6169">
        <w:rPr>
          <w:szCs w:val="24"/>
        </w:rPr>
        <w:t xml:space="preserve">stablished by Act of Congress in 2003, following decades of efforts to promote and highlight the contributions of African Americans.  </w:t>
      </w:r>
    </w:p>
    <w:p w:rsidR="00682218" w:rsidRPr="00EA6169" w:rsidRDefault="00215789" w:rsidP="00682218">
      <w:pPr>
        <w:pStyle w:val="ListParagraph"/>
        <w:numPr>
          <w:ilvl w:val="0"/>
          <w:numId w:val="2"/>
        </w:numPr>
        <w:rPr>
          <w:szCs w:val="24"/>
        </w:rPr>
      </w:pPr>
      <w:hyperlink r:id="rId13" w:history="1">
        <w:r w:rsidR="00682218" w:rsidRPr="00EA6169">
          <w:rPr>
            <w:color w:val="0000FF"/>
            <w:szCs w:val="24"/>
            <w:u w:val="single"/>
          </w:rPr>
          <w:t>Association for the Study of African American Life and History (ASALH)</w:t>
        </w:r>
      </w:hyperlink>
      <w:r w:rsidR="00682218" w:rsidRPr="00EA6169">
        <w:rPr>
          <w:szCs w:val="24"/>
        </w:rPr>
        <w:t xml:space="preserve">, publishing several scholarly works and establishing Negro History Week, the precursor to Black History Month.  </w:t>
      </w:r>
    </w:p>
    <w:p w:rsidR="00682218" w:rsidRPr="00EA6169" w:rsidRDefault="00682218" w:rsidP="00682218">
      <w:pPr>
        <w:pStyle w:val="ListParagraph"/>
        <w:numPr>
          <w:ilvl w:val="0"/>
          <w:numId w:val="2"/>
        </w:numPr>
        <w:rPr>
          <w:szCs w:val="24"/>
        </w:rPr>
      </w:pPr>
      <w:r w:rsidRPr="00EA6169">
        <w:rPr>
          <w:szCs w:val="24"/>
        </w:rPr>
        <w:t xml:space="preserve">The </w:t>
      </w:r>
      <w:hyperlink r:id="rId14" w:history="1">
        <w:r w:rsidRPr="00EA6169">
          <w:rPr>
            <w:rStyle w:val="Hyperlink"/>
            <w:szCs w:val="24"/>
          </w:rPr>
          <w:t>Library of Congress</w:t>
        </w:r>
      </w:hyperlink>
      <w:r w:rsidRPr="00EA6169">
        <w:rPr>
          <w:szCs w:val="24"/>
        </w:rPr>
        <w:t xml:space="preserve">, </w:t>
      </w:r>
      <w:hyperlink r:id="rId15" w:history="1">
        <w:r w:rsidRPr="00EA6169">
          <w:rPr>
            <w:rStyle w:val="Hyperlink"/>
            <w:szCs w:val="24"/>
          </w:rPr>
          <w:t>National Archives and Records Administration</w:t>
        </w:r>
      </w:hyperlink>
      <w:r w:rsidRPr="00EA6169">
        <w:rPr>
          <w:szCs w:val="24"/>
        </w:rPr>
        <w:t xml:space="preserve">, </w:t>
      </w:r>
      <w:hyperlink r:id="rId16" w:history="1">
        <w:r w:rsidRPr="00EA6169">
          <w:rPr>
            <w:rStyle w:val="Hyperlink"/>
            <w:szCs w:val="24"/>
          </w:rPr>
          <w:t>National Endowment for the Humanities</w:t>
        </w:r>
      </w:hyperlink>
      <w:r w:rsidRPr="00EA6169">
        <w:rPr>
          <w:szCs w:val="24"/>
        </w:rPr>
        <w:t xml:space="preserve">, </w:t>
      </w:r>
      <w:hyperlink r:id="rId17" w:history="1">
        <w:r w:rsidRPr="00EA6169">
          <w:rPr>
            <w:rStyle w:val="Hyperlink"/>
            <w:szCs w:val="24"/>
          </w:rPr>
          <w:t>National Gallery of Art</w:t>
        </w:r>
      </w:hyperlink>
      <w:r w:rsidRPr="00EA6169">
        <w:rPr>
          <w:szCs w:val="24"/>
        </w:rPr>
        <w:t xml:space="preserve">, </w:t>
      </w:r>
      <w:hyperlink r:id="rId18" w:history="1">
        <w:r w:rsidRPr="00C12A9D">
          <w:rPr>
            <w:rStyle w:val="Hyperlink"/>
            <w:szCs w:val="24"/>
          </w:rPr>
          <w:t>National Park Service</w:t>
        </w:r>
      </w:hyperlink>
      <w:r w:rsidRPr="00EA6169">
        <w:rPr>
          <w:szCs w:val="24"/>
        </w:rPr>
        <w:t xml:space="preserve">, </w:t>
      </w:r>
      <w:hyperlink r:id="rId19" w:history="1">
        <w:r w:rsidRPr="00CA0D37">
          <w:rPr>
            <w:rStyle w:val="Hyperlink"/>
            <w:szCs w:val="24"/>
          </w:rPr>
          <w:t>Smithsonian Institution</w:t>
        </w:r>
      </w:hyperlink>
      <w:r>
        <w:rPr>
          <w:szCs w:val="24"/>
        </w:rPr>
        <w:t>,</w:t>
      </w:r>
      <w:r w:rsidRPr="00EA6169">
        <w:rPr>
          <w:szCs w:val="24"/>
        </w:rPr>
        <w:t xml:space="preserve"> and </w:t>
      </w:r>
      <w:hyperlink r:id="rId20" w:history="1">
        <w:r w:rsidRPr="00EA6169">
          <w:rPr>
            <w:rStyle w:val="Hyperlink"/>
            <w:szCs w:val="24"/>
          </w:rPr>
          <w:t>United States Holocaust Memorial Museum</w:t>
        </w:r>
      </w:hyperlink>
      <w:r w:rsidRPr="00EA6169">
        <w:rPr>
          <w:szCs w:val="24"/>
        </w:rPr>
        <w:t xml:space="preserve"> join in paying tribute to the generations of African Americans who struggled with adversity to achieve full citizenship in American society at </w:t>
      </w:r>
      <w:hyperlink r:id="rId21" w:history="1">
        <w:r w:rsidRPr="00EA6169">
          <w:rPr>
            <w:color w:val="0000FF"/>
            <w:szCs w:val="24"/>
            <w:u w:val="single"/>
          </w:rPr>
          <w:t>February is African American History Month</w:t>
        </w:r>
      </w:hyperlink>
      <w:r w:rsidRPr="00EA6169">
        <w:rPr>
          <w:szCs w:val="24"/>
        </w:rPr>
        <w:t xml:space="preserve"> and </w:t>
      </w:r>
      <w:hyperlink r:id="rId22" w:history="1">
        <w:r w:rsidRPr="00EA6169">
          <w:rPr>
            <w:color w:val="0000FF"/>
            <w:szCs w:val="24"/>
            <w:u w:val="single"/>
          </w:rPr>
          <w:t>National Archives Black History</w:t>
        </w:r>
      </w:hyperlink>
      <w:r w:rsidRPr="00EA6169">
        <w:rPr>
          <w:szCs w:val="24"/>
        </w:rPr>
        <w:t xml:space="preserve">. </w:t>
      </w:r>
    </w:p>
    <w:p w:rsidR="00682218" w:rsidRPr="00EA6169" w:rsidRDefault="00682218" w:rsidP="00682218">
      <w:pPr>
        <w:pStyle w:val="ListParagraph"/>
        <w:numPr>
          <w:ilvl w:val="0"/>
          <w:numId w:val="2"/>
        </w:numPr>
        <w:rPr>
          <w:szCs w:val="24"/>
        </w:rPr>
      </w:pPr>
      <w:r w:rsidRPr="00EA6169">
        <w:rPr>
          <w:szCs w:val="24"/>
        </w:rPr>
        <w:t xml:space="preserve">The Library of Virginia focuses on topics in Virginia history and includes </w:t>
      </w:r>
      <w:hyperlink r:id="rId23" w:history="1">
        <w:r w:rsidRPr="00EA6169">
          <w:rPr>
            <w:color w:val="0000FF"/>
            <w:szCs w:val="24"/>
            <w:u w:val="single"/>
          </w:rPr>
          <w:t>African American History Sites</w:t>
        </w:r>
      </w:hyperlink>
      <w:r w:rsidRPr="00EA6169">
        <w:rPr>
          <w:szCs w:val="24"/>
        </w:rPr>
        <w:t xml:space="preserve">. </w:t>
      </w:r>
    </w:p>
    <w:p w:rsidR="00682218" w:rsidRPr="00EA6169" w:rsidRDefault="00682218" w:rsidP="00682218">
      <w:pPr>
        <w:pStyle w:val="ListParagraph"/>
        <w:numPr>
          <w:ilvl w:val="0"/>
          <w:numId w:val="2"/>
        </w:numPr>
        <w:rPr>
          <w:szCs w:val="24"/>
        </w:rPr>
      </w:pPr>
      <w:r w:rsidRPr="00EA6169">
        <w:rPr>
          <w:szCs w:val="24"/>
        </w:rPr>
        <w:t xml:space="preserve">The </w:t>
      </w:r>
      <w:hyperlink r:id="rId24" w:history="1">
        <w:r w:rsidRPr="00EA6169">
          <w:rPr>
            <w:color w:val="0000FF"/>
            <w:szCs w:val="24"/>
            <w:u w:val="single"/>
          </w:rPr>
          <w:t>Virginia’s Dr. Martin Luther King, Jr. Memorial Commission</w:t>
        </w:r>
      </w:hyperlink>
      <w:r w:rsidRPr="00EA6169">
        <w:rPr>
          <w:szCs w:val="24"/>
        </w:rPr>
        <w:t xml:space="preserve"> website includes the following resources:  </w:t>
      </w:r>
    </w:p>
    <w:p w:rsidR="00682218" w:rsidRPr="00EA6169" w:rsidRDefault="00215789" w:rsidP="00682218">
      <w:pPr>
        <w:pStyle w:val="ListParagraph"/>
        <w:numPr>
          <w:ilvl w:val="1"/>
          <w:numId w:val="2"/>
        </w:numPr>
        <w:ind w:left="1080"/>
        <w:rPr>
          <w:szCs w:val="24"/>
        </w:rPr>
      </w:pPr>
      <w:hyperlink r:id="rId25" w:history="1">
        <w:r w:rsidR="00682218" w:rsidRPr="00EA6169">
          <w:rPr>
            <w:color w:val="0000FF"/>
            <w:szCs w:val="24"/>
            <w:u w:val="single"/>
          </w:rPr>
          <w:t>Emancipation Proclamation Sesquicentennial</w:t>
        </w:r>
      </w:hyperlink>
      <w:r w:rsidR="00682218" w:rsidRPr="00EA6169">
        <w:rPr>
          <w:szCs w:val="24"/>
        </w:rPr>
        <w:t xml:space="preserve"> </w:t>
      </w:r>
    </w:p>
    <w:p w:rsidR="00682218" w:rsidRPr="00EA6169" w:rsidRDefault="00215789" w:rsidP="00682218">
      <w:pPr>
        <w:pStyle w:val="ListParagraph"/>
        <w:numPr>
          <w:ilvl w:val="1"/>
          <w:numId w:val="2"/>
        </w:numPr>
        <w:ind w:left="1080"/>
        <w:rPr>
          <w:szCs w:val="24"/>
        </w:rPr>
      </w:pPr>
      <w:hyperlink r:id="rId26" w:history="1">
        <w:r w:rsidR="00682218" w:rsidRPr="00EA6169">
          <w:rPr>
            <w:color w:val="0000FF"/>
            <w:szCs w:val="24"/>
            <w:u w:val="single"/>
          </w:rPr>
          <w:t>RESOURCES from the Dr. Martin Luther King Jr. Memorial Commission</w:t>
        </w:r>
      </w:hyperlink>
    </w:p>
    <w:p w:rsidR="00682218" w:rsidRPr="00EA6169" w:rsidRDefault="00215789" w:rsidP="00682218">
      <w:pPr>
        <w:pStyle w:val="ListParagraph"/>
        <w:numPr>
          <w:ilvl w:val="1"/>
          <w:numId w:val="2"/>
        </w:numPr>
        <w:ind w:left="1080"/>
        <w:rPr>
          <w:szCs w:val="24"/>
        </w:rPr>
      </w:pPr>
      <w:hyperlink r:id="rId27" w:history="1">
        <w:r w:rsidR="00682218" w:rsidRPr="00EA6169">
          <w:rPr>
            <w:color w:val="0000FF"/>
            <w:szCs w:val="24"/>
            <w:u w:val="single"/>
          </w:rPr>
          <w:t>RESOURCES from the Abraham Lincoln Subcommittee</w:t>
        </w:r>
      </w:hyperlink>
    </w:p>
    <w:p w:rsidR="00682218" w:rsidRDefault="00215789" w:rsidP="00682218">
      <w:pPr>
        <w:pStyle w:val="ListParagraph"/>
        <w:numPr>
          <w:ilvl w:val="1"/>
          <w:numId w:val="2"/>
        </w:numPr>
        <w:ind w:left="1080"/>
        <w:rPr>
          <w:szCs w:val="24"/>
        </w:rPr>
      </w:pPr>
      <w:hyperlink r:id="rId28" w:history="1">
        <w:r w:rsidR="00682218" w:rsidRPr="00EA6169">
          <w:rPr>
            <w:color w:val="0000FF"/>
            <w:szCs w:val="24"/>
            <w:u w:val="single"/>
          </w:rPr>
          <w:t>RESOURCES from the 50th Anniversary of Public School Closings in Virginia</w:t>
        </w:r>
      </w:hyperlink>
      <w:r w:rsidR="00682218" w:rsidRPr="00EA6169">
        <w:rPr>
          <w:szCs w:val="24"/>
        </w:rPr>
        <w:t>.</w:t>
      </w:r>
    </w:p>
    <w:p w:rsidR="00682218" w:rsidRDefault="00682218" w:rsidP="00682218">
      <w:pPr>
        <w:pStyle w:val="ListParagraph"/>
        <w:numPr>
          <w:ilvl w:val="0"/>
          <w:numId w:val="2"/>
        </w:numPr>
        <w:spacing w:before="100" w:beforeAutospacing="1" w:after="100" w:afterAutospacing="1"/>
        <w:rPr>
          <w:szCs w:val="24"/>
        </w:rPr>
      </w:pPr>
      <w:r w:rsidRPr="00EA6169">
        <w:rPr>
          <w:szCs w:val="24"/>
        </w:rPr>
        <w:t xml:space="preserve">Virginia’s </w:t>
      </w:r>
      <w:hyperlink r:id="rId29" w:history="1">
        <w:r w:rsidRPr="00EA6169">
          <w:rPr>
            <w:color w:val="0000FF"/>
            <w:szCs w:val="24"/>
            <w:u w:val="single"/>
          </w:rPr>
          <w:t>2019 AMERICAN EVOLUTION™ commemoration</w:t>
        </w:r>
      </w:hyperlink>
      <w:r w:rsidRPr="00EA6169">
        <w:rPr>
          <w:szCs w:val="24"/>
        </w:rPr>
        <w:t xml:space="preserve"> - highlights the significance and modern relevance of several important events that occurred in Virginia in 1619. Explore the 2019 commemoration’s </w:t>
      </w:r>
      <w:hyperlink r:id="rId30" w:history="1">
        <w:r w:rsidRPr="00EA6169">
          <w:rPr>
            <w:color w:val="0000FF"/>
            <w:szCs w:val="24"/>
            <w:u w:val="single"/>
          </w:rPr>
          <w:t>education resources</w:t>
        </w:r>
      </w:hyperlink>
      <w:r w:rsidRPr="00EA6169">
        <w:rPr>
          <w:szCs w:val="24"/>
        </w:rPr>
        <w:t>, including primary source materials, videos, and innovative lesson ideas to use in your classroom all year long!</w:t>
      </w:r>
    </w:p>
    <w:p w:rsidR="00682218" w:rsidRPr="004C2F41" w:rsidRDefault="00215789" w:rsidP="00682218">
      <w:pPr>
        <w:pStyle w:val="ListParagraph"/>
        <w:numPr>
          <w:ilvl w:val="0"/>
          <w:numId w:val="2"/>
        </w:numPr>
        <w:spacing w:before="100" w:beforeAutospacing="1" w:after="100" w:afterAutospacing="1"/>
        <w:rPr>
          <w:szCs w:val="24"/>
        </w:rPr>
      </w:pPr>
      <w:hyperlink r:id="rId31" w:history="1">
        <w:r w:rsidR="00682218" w:rsidRPr="004C2F41">
          <w:rPr>
            <w:rStyle w:val="Hyperlink"/>
            <w:szCs w:val="24"/>
          </w:rPr>
          <w:t>Civil Rights and Racial Healing</w:t>
        </w:r>
      </w:hyperlink>
      <w:r w:rsidR="00682218">
        <w:rPr>
          <w:szCs w:val="24"/>
        </w:rPr>
        <w:t xml:space="preserve"> -</w:t>
      </w:r>
      <w:r w:rsidR="00682218" w:rsidRPr="004C2F41">
        <w:rPr>
          <w:rFonts w:ascii="Arial" w:eastAsiaTheme="minorHAnsi" w:hAnsi="Arial" w:cs="Arial"/>
          <w:color w:val="333333"/>
          <w:shd w:val="clear" w:color="auto" w:fill="FFFFFF"/>
        </w:rPr>
        <w:t xml:space="preserve"> </w:t>
      </w:r>
      <w:r w:rsidR="00682218" w:rsidRPr="004C2F41">
        <w:rPr>
          <w:szCs w:val="24"/>
        </w:rPr>
        <w:t xml:space="preserve">Classroom discussions about Civil Rights struggles in historic places can help communities toward racial healing. In honor of the American pursuit of justice, The National Park Service highlights Teaching with Historic Places lesson plans that focus on Civil Rights and Racial Healing. Created by interpreters, </w:t>
      </w:r>
      <w:r w:rsidR="00682218" w:rsidRPr="004C2F41">
        <w:rPr>
          <w:szCs w:val="24"/>
        </w:rPr>
        <w:lastRenderedPageBreak/>
        <w:t>preservation professionals, and educators, these lessons are free and ready for immediate classroom use and are adaptable for most grade levels</w:t>
      </w:r>
      <w:r w:rsidR="00682218">
        <w:rPr>
          <w:szCs w:val="24"/>
        </w:rPr>
        <w:t xml:space="preserve"> </w:t>
      </w:r>
    </w:p>
    <w:p w:rsidR="00682218" w:rsidRPr="00DB3CDC" w:rsidRDefault="00682218" w:rsidP="00682218">
      <w:pPr>
        <w:rPr>
          <w:szCs w:val="24"/>
        </w:rPr>
      </w:pPr>
      <w:r>
        <w:rPr>
          <w:szCs w:val="24"/>
        </w:rPr>
        <w:t>Additionally, o</w:t>
      </w:r>
      <w:r w:rsidRPr="00DB3CDC">
        <w:rPr>
          <w:szCs w:val="24"/>
        </w:rPr>
        <w:t>n August 24</w:t>
      </w:r>
      <w:r w:rsidRPr="00DB3CDC">
        <w:rPr>
          <w:szCs w:val="24"/>
          <w:vertAlign w:val="superscript"/>
        </w:rPr>
        <w:t>th</w:t>
      </w:r>
      <w:r>
        <w:rPr>
          <w:szCs w:val="24"/>
        </w:rPr>
        <w:t>,</w:t>
      </w:r>
      <w:r w:rsidRPr="00DB3CDC">
        <w:rPr>
          <w:szCs w:val="24"/>
        </w:rPr>
        <w:t xml:space="preserve"> Governor Ralph Northam </w:t>
      </w:r>
      <w:r>
        <w:rPr>
          <w:szCs w:val="24"/>
        </w:rPr>
        <w:t>established</w:t>
      </w:r>
      <w:r w:rsidRPr="00DB3CDC">
        <w:rPr>
          <w:szCs w:val="24"/>
        </w:rPr>
        <w:t xml:space="preserve"> the </w:t>
      </w:r>
      <w:hyperlink r:id="rId32" w:history="1">
        <w:r w:rsidRPr="00095D9C">
          <w:rPr>
            <w:rStyle w:val="Hyperlink"/>
            <w:szCs w:val="24"/>
          </w:rPr>
          <w:t>Commission on African American History Education</w:t>
        </w:r>
      </w:hyperlink>
      <w:r w:rsidRPr="00DB3CDC">
        <w:rPr>
          <w:szCs w:val="24"/>
        </w:rPr>
        <w:t xml:space="preserve">. The group </w:t>
      </w:r>
      <w:r>
        <w:rPr>
          <w:szCs w:val="24"/>
        </w:rPr>
        <w:t xml:space="preserve">is charged </w:t>
      </w:r>
      <w:r w:rsidRPr="00DB3CDC">
        <w:rPr>
          <w:szCs w:val="24"/>
        </w:rPr>
        <w:t xml:space="preserve">with </w:t>
      </w:r>
      <w:r w:rsidR="00E36BAA">
        <w:rPr>
          <w:szCs w:val="24"/>
        </w:rPr>
        <w:t>examining and making</w:t>
      </w:r>
      <w:r w:rsidR="00E36BAA" w:rsidRPr="00DB3CDC">
        <w:rPr>
          <w:szCs w:val="24"/>
        </w:rPr>
        <w:t xml:space="preserve"> recommendations on the professional development supports needed to equip all teach</w:t>
      </w:r>
      <w:r w:rsidR="00E36BAA">
        <w:rPr>
          <w:szCs w:val="24"/>
        </w:rPr>
        <w:t>ers for culturally competent instruction</w:t>
      </w:r>
      <w:r w:rsidR="00E36BAA" w:rsidRPr="00DB3CDC">
        <w:rPr>
          <w:szCs w:val="24"/>
        </w:rPr>
        <w:t xml:space="preserve"> </w:t>
      </w:r>
      <w:r w:rsidR="00E36BAA">
        <w:rPr>
          <w:szCs w:val="24"/>
        </w:rPr>
        <w:t xml:space="preserve">and </w:t>
      </w:r>
      <w:r w:rsidRPr="00DB3CDC">
        <w:rPr>
          <w:szCs w:val="24"/>
        </w:rPr>
        <w:t>reviewing Virginia’s history standards, instructional practices, content, and resources currently used to teach African Ameri</w:t>
      </w:r>
      <w:r w:rsidR="00E36BAA">
        <w:rPr>
          <w:szCs w:val="24"/>
        </w:rPr>
        <w:t>can history in the Commonwealth.</w:t>
      </w:r>
    </w:p>
    <w:p w:rsidR="00682218" w:rsidRPr="00DB3CDC" w:rsidRDefault="00682218" w:rsidP="00682218">
      <w:pPr>
        <w:rPr>
          <w:szCs w:val="24"/>
        </w:rPr>
      </w:pPr>
      <w:r>
        <w:rPr>
          <w:szCs w:val="24"/>
        </w:rPr>
        <w:t>Parents</w:t>
      </w:r>
      <w:r w:rsidRPr="008136E2">
        <w:rPr>
          <w:szCs w:val="24"/>
        </w:rPr>
        <w:t xml:space="preserve">, students, </w:t>
      </w:r>
      <w:r>
        <w:rPr>
          <w:szCs w:val="24"/>
        </w:rPr>
        <w:t>educators</w:t>
      </w:r>
      <w:r w:rsidRPr="008136E2">
        <w:rPr>
          <w:szCs w:val="24"/>
        </w:rPr>
        <w:t xml:space="preserve">, </w:t>
      </w:r>
      <w:r>
        <w:rPr>
          <w:szCs w:val="24"/>
        </w:rPr>
        <w:t>leaders</w:t>
      </w:r>
      <w:r w:rsidRPr="008136E2">
        <w:rPr>
          <w:szCs w:val="24"/>
        </w:rPr>
        <w:t>, and all interested community members are encouraged to share their needs, goals and insights as to how best to achieve the commission’s goals</w:t>
      </w:r>
      <w:r>
        <w:rPr>
          <w:szCs w:val="24"/>
        </w:rPr>
        <w:t xml:space="preserve"> during a series of public listening sessions</w:t>
      </w:r>
      <w:r w:rsidRPr="008136E2">
        <w:rPr>
          <w:szCs w:val="24"/>
        </w:rPr>
        <w:t xml:space="preserve">. </w:t>
      </w:r>
      <w:r w:rsidRPr="00DB3CDC">
        <w:rPr>
          <w:szCs w:val="24"/>
        </w:rPr>
        <w:t xml:space="preserve">Listening sessions </w:t>
      </w:r>
      <w:r>
        <w:rPr>
          <w:szCs w:val="24"/>
        </w:rPr>
        <w:t xml:space="preserve">begin in February; the </w:t>
      </w:r>
      <w:r w:rsidRPr="00DB3CDC">
        <w:rPr>
          <w:szCs w:val="24"/>
        </w:rPr>
        <w:t xml:space="preserve">symbolic backdrop </w:t>
      </w:r>
      <w:r>
        <w:rPr>
          <w:szCs w:val="24"/>
        </w:rPr>
        <w:t xml:space="preserve">of Black History Month </w:t>
      </w:r>
      <w:r w:rsidRPr="00DB3CDC">
        <w:rPr>
          <w:szCs w:val="24"/>
        </w:rPr>
        <w:t>offers important context that highlights the greater significance of the commission’s work. Additional sessions to be held in March will be announced at a later date.</w:t>
      </w:r>
    </w:p>
    <w:p w:rsidR="00682218" w:rsidRPr="00DB3CDC" w:rsidRDefault="00682218" w:rsidP="00682218">
      <w:pPr>
        <w:rPr>
          <w:szCs w:val="24"/>
        </w:rPr>
      </w:pPr>
      <w:r w:rsidRPr="00DB3CDC">
        <w:rPr>
          <w:szCs w:val="24"/>
        </w:rPr>
        <w:t>Sessions are scheduled for:</w:t>
      </w:r>
    </w:p>
    <w:tbl>
      <w:tblPr>
        <w:tblW w:w="9749" w:type="dxa"/>
        <w:jc w:val="center"/>
        <w:tblCellMar>
          <w:top w:w="15" w:type="dxa"/>
          <w:left w:w="15" w:type="dxa"/>
          <w:bottom w:w="15" w:type="dxa"/>
          <w:right w:w="15" w:type="dxa"/>
        </w:tblCellMar>
        <w:tblLook w:val="04A0" w:firstRow="1" w:lastRow="0" w:firstColumn="1" w:lastColumn="0" w:noHBand="0" w:noVBand="1"/>
      </w:tblPr>
      <w:tblGrid>
        <w:gridCol w:w="3250"/>
        <w:gridCol w:w="3342"/>
        <w:gridCol w:w="3157"/>
      </w:tblGrid>
      <w:tr w:rsidR="00682218" w:rsidRPr="00DB3CDC" w:rsidTr="00704D48">
        <w:trPr>
          <w:trHeight w:val="1898"/>
          <w:jc w:val="center"/>
        </w:trPr>
        <w:tc>
          <w:tcPr>
            <w:tcW w:w="3250" w:type="dxa"/>
            <w:tcMar>
              <w:top w:w="100" w:type="dxa"/>
              <w:left w:w="100" w:type="dxa"/>
              <w:bottom w:w="100" w:type="dxa"/>
              <w:right w:w="100" w:type="dxa"/>
            </w:tcMar>
            <w:hideMark/>
          </w:tcPr>
          <w:p w:rsidR="00682218" w:rsidRPr="00DB3CDC" w:rsidRDefault="00682218" w:rsidP="00704D48">
            <w:pPr>
              <w:spacing w:after="0" w:line="240" w:lineRule="auto"/>
              <w:jc w:val="center"/>
              <w:rPr>
                <w:szCs w:val="24"/>
              </w:rPr>
            </w:pPr>
            <w:r>
              <w:rPr>
                <w:szCs w:val="24"/>
              </w:rPr>
              <w:t>Tuesday, February 11, 2020</w:t>
            </w:r>
          </w:p>
          <w:p w:rsidR="00682218" w:rsidRPr="00DB3CDC" w:rsidRDefault="00682218" w:rsidP="00704D48">
            <w:pPr>
              <w:spacing w:after="0" w:line="240" w:lineRule="auto"/>
              <w:jc w:val="center"/>
              <w:rPr>
                <w:szCs w:val="24"/>
              </w:rPr>
            </w:pPr>
            <w:r w:rsidRPr="00DB3CDC">
              <w:rPr>
                <w:b/>
                <w:bCs/>
                <w:szCs w:val="24"/>
              </w:rPr>
              <w:t>Roanoke, Virginia</w:t>
            </w:r>
          </w:p>
          <w:p w:rsidR="00682218" w:rsidRPr="00DB3CDC" w:rsidRDefault="00682218" w:rsidP="00704D48">
            <w:pPr>
              <w:spacing w:after="0" w:line="240" w:lineRule="auto"/>
              <w:jc w:val="center"/>
              <w:rPr>
                <w:szCs w:val="24"/>
              </w:rPr>
            </w:pPr>
            <w:r w:rsidRPr="00DB3CDC">
              <w:rPr>
                <w:szCs w:val="24"/>
              </w:rPr>
              <w:t>Harrison Museum of African American Culture</w:t>
            </w:r>
          </w:p>
          <w:p w:rsidR="00682218" w:rsidRPr="00DB3CDC" w:rsidRDefault="00682218" w:rsidP="00704D48">
            <w:pPr>
              <w:spacing w:after="0" w:line="240" w:lineRule="auto"/>
              <w:jc w:val="center"/>
              <w:rPr>
                <w:szCs w:val="24"/>
              </w:rPr>
            </w:pPr>
            <w:r w:rsidRPr="00DB3CDC">
              <w:rPr>
                <w:szCs w:val="24"/>
              </w:rPr>
              <w:t>6:00PM-7:30PM</w:t>
            </w:r>
          </w:p>
          <w:p w:rsidR="00682218" w:rsidRPr="00DB3CDC" w:rsidRDefault="00682218" w:rsidP="00704D48">
            <w:pPr>
              <w:spacing w:after="0" w:line="240" w:lineRule="auto"/>
              <w:jc w:val="center"/>
              <w:rPr>
                <w:szCs w:val="24"/>
              </w:rPr>
            </w:pPr>
            <w:r w:rsidRPr="00DB3CDC">
              <w:rPr>
                <w:i/>
                <w:iCs/>
                <w:szCs w:val="24"/>
              </w:rPr>
              <w:t>Educator Panel</w:t>
            </w:r>
          </w:p>
        </w:tc>
        <w:tc>
          <w:tcPr>
            <w:tcW w:w="3342" w:type="dxa"/>
            <w:tcMar>
              <w:top w:w="100" w:type="dxa"/>
              <w:left w:w="100" w:type="dxa"/>
              <w:bottom w:w="100" w:type="dxa"/>
              <w:right w:w="100" w:type="dxa"/>
            </w:tcMar>
            <w:hideMark/>
          </w:tcPr>
          <w:p w:rsidR="00682218" w:rsidRPr="00DB3CDC" w:rsidRDefault="00682218" w:rsidP="00704D48">
            <w:pPr>
              <w:spacing w:after="0" w:line="240" w:lineRule="auto"/>
              <w:jc w:val="center"/>
              <w:rPr>
                <w:szCs w:val="24"/>
              </w:rPr>
            </w:pPr>
            <w:r w:rsidRPr="00DB3CDC">
              <w:rPr>
                <w:szCs w:val="24"/>
              </w:rPr>
              <w:t>Wednesday, February 12, 2020</w:t>
            </w:r>
          </w:p>
          <w:p w:rsidR="00682218" w:rsidRPr="00DB3CDC" w:rsidRDefault="00682218" w:rsidP="00704D48">
            <w:pPr>
              <w:spacing w:after="0" w:line="240" w:lineRule="auto"/>
              <w:jc w:val="center"/>
              <w:rPr>
                <w:szCs w:val="24"/>
              </w:rPr>
            </w:pPr>
            <w:r w:rsidRPr="00DB3CDC">
              <w:rPr>
                <w:b/>
                <w:bCs/>
                <w:szCs w:val="24"/>
              </w:rPr>
              <w:t>Richmond, Virginia</w:t>
            </w:r>
          </w:p>
          <w:p w:rsidR="00682218" w:rsidRPr="00DB3CDC" w:rsidRDefault="00682218" w:rsidP="00704D48">
            <w:pPr>
              <w:spacing w:after="0" w:line="240" w:lineRule="auto"/>
              <w:jc w:val="center"/>
              <w:rPr>
                <w:szCs w:val="24"/>
              </w:rPr>
            </w:pPr>
            <w:r w:rsidRPr="00DB3CDC">
              <w:rPr>
                <w:szCs w:val="24"/>
              </w:rPr>
              <w:t>Black History Museum and Cultural Center of Virginia</w:t>
            </w:r>
          </w:p>
          <w:p w:rsidR="00682218" w:rsidRPr="00DB3CDC" w:rsidRDefault="00682218" w:rsidP="00704D48">
            <w:pPr>
              <w:spacing w:after="0" w:line="240" w:lineRule="auto"/>
              <w:jc w:val="center"/>
              <w:rPr>
                <w:szCs w:val="24"/>
              </w:rPr>
            </w:pPr>
            <w:r w:rsidRPr="00DB3CDC">
              <w:rPr>
                <w:szCs w:val="24"/>
              </w:rPr>
              <w:t>6:00PM-7:30PM</w:t>
            </w:r>
          </w:p>
          <w:p w:rsidR="00682218" w:rsidRPr="00DB3CDC" w:rsidRDefault="00682218" w:rsidP="00704D48">
            <w:pPr>
              <w:spacing w:after="0" w:line="240" w:lineRule="auto"/>
              <w:jc w:val="center"/>
              <w:rPr>
                <w:szCs w:val="24"/>
              </w:rPr>
            </w:pPr>
            <w:r w:rsidRPr="00DB3CDC">
              <w:rPr>
                <w:i/>
                <w:iCs/>
                <w:szCs w:val="24"/>
              </w:rPr>
              <w:t>Parents and Stakeholder Panel</w:t>
            </w:r>
          </w:p>
        </w:tc>
        <w:tc>
          <w:tcPr>
            <w:tcW w:w="3157" w:type="dxa"/>
            <w:tcMar>
              <w:top w:w="100" w:type="dxa"/>
              <w:left w:w="100" w:type="dxa"/>
              <w:bottom w:w="100" w:type="dxa"/>
              <w:right w:w="100" w:type="dxa"/>
            </w:tcMar>
            <w:hideMark/>
          </w:tcPr>
          <w:p w:rsidR="00682218" w:rsidRPr="00DB3CDC" w:rsidRDefault="00682218" w:rsidP="00704D48">
            <w:pPr>
              <w:spacing w:after="0" w:line="240" w:lineRule="auto"/>
              <w:jc w:val="center"/>
              <w:rPr>
                <w:szCs w:val="24"/>
              </w:rPr>
            </w:pPr>
            <w:r w:rsidRPr="00DB3CDC">
              <w:rPr>
                <w:szCs w:val="24"/>
              </w:rPr>
              <w:t>Thursday, February 13, 2020</w:t>
            </w:r>
          </w:p>
          <w:p w:rsidR="00682218" w:rsidRPr="00DB3CDC" w:rsidRDefault="00682218" w:rsidP="00704D48">
            <w:pPr>
              <w:spacing w:after="0" w:line="240" w:lineRule="auto"/>
              <w:jc w:val="center"/>
              <w:rPr>
                <w:szCs w:val="24"/>
              </w:rPr>
            </w:pPr>
            <w:r w:rsidRPr="00DB3CDC">
              <w:rPr>
                <w:b/>
                <w:bCs/>
                <w:szCs w:val="24"/>
              </w:rPr>
              <w:t>Danville, Virginia</w:t>
            </w:r>
          </w:p>
          <w:p w:rsidR="00682218" w:rsidRPr="00DB3CDC" w:rsidRDefault="00682218" w:rsidP="00704D48">
            <w:pPr>
              <w:spacing w:after="0" w:line="240" w:lineRule="auto"/>
              <w:jc w:val="center"/>
              <w:rPr>
                <w:szCs w:val="24"/>
              </w:rPr>
            </w:pPr>
            <w:r w:rsidRPr="00DB3CDC">
              <w:rPr>
                <w:szCs w:val="24"/>
              </w:rPr>
              <w:t>J.M Langston High School</w:t>
            </w:r>
          </w:p>
          <w:p w:rsidR="00682218" w:rsidRPr="00DB3CDC" w:rsidRDefault="00682218" w:rsidP="00704D48">
            <w:pPr>
              <w:spacing w:after="0" w:line="240" w:lineRule="auto"/>
              <w:jc w:val="center"/>
              <w:rPr>
                <w:szCs w:val="24"/>
              </w:rPr>
            </w:pPr>
            <w:r w:rsidRPr="00DB3CDC">
              <w:rPr>
                <w:szCs w:val="24"/>
              </w:rPr>
              <w:t>Danville Public Schools</w:t>
            </w:r>
          </w:p>
          <w:p w:rsidR="00682218" w:rsidRPr="00DB3CDC" w:rsidRDefault="00682218" w:rsidP="00704D48">
            <w:pPr>
              <w:spacing w:after="0" w:line="240" w:lineRule="auto"/>
              <w:jc w:val="center"/>
              <w:rPr>
                <w:szCs w:val="24"/>
              </w:rPr>
            </w:pPr>
            <w:r w:rsidRPr="00DB3CDC">
              <w:rPr>
                <w:szCs w:val="24"/>
              </w:rPr>
              <w:t>6:00PM-7:30PM</w:t>
            </w:r>
          </w:p>
          <w:p w:rsidR="00682218" w:rsidRPr="00DB3CDC" w:rsidRDefault="00682218" w:rsidP="00704D48">
            <w:pPr>
              <w:spacing w:after="0" w:line="240" w:lineRule="auto"/>
              <w:jc w:val="center"/>
              <w:rPr>
                <w:szCs w:val="24"/>
              </w:rPr>
            </w:pPr>
            <w:r w:rsidRPr="00DB3CDC">
              <w:rPr>
                <w:i/>
                <w:iCs/>
                <w:szCs w:val="24"/>
              </w:rPr>
              <w:t>Student Panel</w:t>
            </w:r>
          </w:p>
        </w:tc>
      </w:tr>
    </w:tbl>
    <w:p w:rsidR="00682218" w:rsidRPr="00DB3CDC" w:rsidRDefault="00682218" w:rsidP="00682218">
      <w:pPr>
        <w:rPr>
          <w:szCs w:val="24"/>
        </w:rPr>
      </w:pPr>
      <w:r w:rsidRPr="00DB3CDC">
        <w:rPr>
          <w:szCs w:val="24"/>
        </w:rPr>
        <w:t xml:space="preserve">Virginians who wish to contribute to the conversation but are unable to attend sessions physically may submit feedback to </w:t>
      </w:r>
      <w:hyperlink r:id="rId33" w:history="1">
        <w:r w:rsidRPr="00DB3CDC">
          <w:rPr>
            <w:rStyle w:val="Hyperlink"/>
            <w:szCs w:val="24"/>
          </w:rPr>
          <w:t>edequityva@doe.virginia.gov</w:t>
        </w:r>
      </w:hyperlink>
      <w:r>
        <w:rPr>
          <w:szCs w:val="24"/>
        </w:rPr>
        <w:t xml:space="preserve">. All feedback will be shared with members of the commission. </w:t>
      </w:r>
    </w:p>
    <w:p w:rsidR="00682218" w:rsidRPr="00682218" w:rsidRDefault="00682218" w:rsidP="00682218">
      <w:pPr>
        <w:spacing w:after="0" w:line="240" w:lineRule="auto"/>
        <w:rPr>
          <w:rFonts w:eastAsia="Times New Roman" w:cs="Times New Roman"/>
          <w:szCs w:val="24"/>
        </w:rPr>
      </w:pPr>
      <w:r w:rsidRPr="007563C5">
        <w:rPr>
          <w:rFonts w:eastAsia="Times New Roman" w:cs="Times New Roman"/>
          <w:szCs w:val="24"/>
        </w:rPr>
        <w:t xml:space="preserve">For more </w:t>
      </w:r>
      <w:r>
        <w:rPr>
          <w:rFonts w:eastAsia="Times New Roman" w:cs="Times New Roman"/>
          <w:szCs w:val="24"/>
        </w:rPr>
        <w:t xml:space="preserve">instructional support and </w:t>
      </w:r>
      <w:r w:rsidRPr="007563C5">
        <w:rPr>
          <w:rFonts w:eastAsia="Times New Roman" w:cs="Times New Roman"/>
          <w:szCs w:val="24"/>
        </w:rPr>
        <w:t xml:space="preserve">information, please contact </w:t>
      </w:r>
      <w:r>
        <w:rPr>
          <w:rFonts w:eastAsia="Times New Roman" w:cs="Times New Roman"/>
          <w:szCs w:val="24"/>
        </w:rPr>
        <w:t xml:space="preserve">the </w:t>
      </w:r>
      <w:hyperlink r:id="rId34" w:history="1">
        <w:r w:rsidRPr="004C2F41">
          <w:rPr>
            <w:rStyle w:val="Hyperlink"/>
            <w:rFonts w:eastAsia="Times New Roman" w:cs="Times New Roman"/>
            <w:szCs w:val="24"/>
          </w:rPr>
          <w:t>Division of Learning and Innovation</w:t>
        </w:r>
      </w:hyperlink>
      <w:r>
        <w:rPr>
          <w:rFonts w:eastAsia="Times New Roman" w:cs="Times New Roman"/>
          <w:szCs w:val="24"/>
        </w:rPr>
        <w:t xml:space="preserve"> or call (804) 225-2034. </w:t>
      </w:r>
      <w:r w:rsidRPr="00095D9C">
        <w:rPr>
          <w:rFonts w:eastAsia="Times New Roman" w:cs="Times New Roman"/>
          <w:szCs w:val="24"/>
        </w:rPr>
        <w:t>For more information regarding programming for</w:t>
      </w:r>
      <w:r w:rsidR="001A520E">
        <w:rPr>
          <w:rFonts w:eastAsia="Times New Roman" w:cs="Times New Roman"/>
          <w:szCs w:val="24"/>
        </w:rPr>
        <w:t xml:space="preserve"> </w:t>
      </w:r>
      <w:r>
        <w:rPr>
          <w:rFonts w:eastAsia="Times New Roman" w:cs="Times New Roman"/>
          <w:szCs w:val="24"/>
        </w:rPr>
        <w:t>c</w:t>
      </w:r>
      <w:r w:rsidRPr="00095D9C">
        <w:rPr>
          <w:rFonts w:eastAsia="Times New Roman" w:cs="Times New Roman"/>
          <w:szCs w:val="24"/>
        </w:rPr>
        <w:t xml:space="preserve">ommunity engagement, please contact Jenné </w:t>
      </w:r>
      <w:r>
        <w:rPr>
          <w:rFonts w:eastAsia="Times New Roman" w:cs="Times New Roman"/>
          <w:szCs w:val="24"/>
        </w:rPr>
        <w:t xml:space="preserve">Nurse in the office of Equity and Community Engagement at </w:t>
      </w:r>
      <w:hyperlink r:id="rId35" w:history="1">
        <w:r w:rsidR="001A520E" w:rsidRPr="00B900D0">
          <w:rPr>
            <w:rStyle w:val="Hyperlink"/>
            <w:rFonts w:eastAsia="Times New Roman" w:cs="Times New Roman"/>
            <w:szCs w:val="24"/>
          </w:rPr>
          <w:t>jenne.nurse@doe.virginia.gov</w:t>
        </w:r>
      </w:hyperlink>
      <w:r w:rsidRPr="00095D9C">
        <w:rPr>
          <w:rFonts w:eastAsia="Times New Roman" w:cs="Times New Roman"/>
          <w:szCs w:val="24"/>
        </w:rPr>
        <w:t>.</w:t>
      </w:r>
    </w:p>
    <w:p w:rsidR="00167950" w:rsidRPr="002F2AF8" w:rsidRDefault="00167950" w:rsidP="00167950">
      <w:pPr>
        <w:rPr>
          <w:color w:val="000000"/>
          <w:szCs w:val="24"/>
        </w:rPr>
      </w:pPr>
    </w:p>
    <w:p w:rsidR="007C0B3F" w:rsidRPr="001A520E" w:rsidRDefault="005E064F" w:rsidP="001A520E">
      <w:pPr>
        <w:rPr>
          <w:color w:val="000000"/>
          <w:szCs w:val="24"/>
        </w:rPr>
      </w:pPr>
      <w:r w:rsidRPr="002F2AF8">
        <w:rPr>
          <w:rStyle w:val="PlaceholderText"/>
          <w:color w:val="auto"/>
          <w:szCs w:val="24"/>
        </w:rPr>
        <w:t>JFL/</w:t>
      </w:r>
      <w:r w:rsidR="00682218">
        <w:rPr>
          <w:color w:val="000000"/>
          <w:szCs w:val="24"/>
        </w:rPr>
        <w:t>TMM/ldw</w:t>
      </w:r>
    </w:p>
    <w:sectPr w:rsidR="007C0B3F" w:rsidRPr="001A520E" w:rsidSect="005639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762" w:rsidRDefault="00242762" w:rsidP="00B25322">
      <w:pPr>
        <w:spacing w:after="0" w:line="240" w:lineRule="auto"/>
      </w:pPr>
      <w:r>
        <w:separator/>
      </w:r>
    </w:p>
  </w:endnote>
  <w:endnote w:type="continuationSeparator" w:id="0">
    <w:p w:rsidR="00242762" w:rsidRDefault="00242762"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762" w:rsidRDefault="00242762" w:rsidP="00B25322">
      <w:pPr>
        <w:spacing w:after="0" w:line="240" w:lineRule="auto"/>
      </w:pPr>
      <w:r>
        <w:separator/>
      </w:r>
    </w:p>
  </w:footnote>
  <w:footnote w:type="continuationSeparator" w:id="0">
    <w:p w:rsidR="00242762" w:rsidRDefault="00242762"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1360A"/>
    <w:multiLevelType w:val="hybridMultilevel"/>
    <w:tmpl w:val="977AA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CD1CB5"/>
    <w:multiLevelType w:val="hybridMultilevel"/>
    <w:tmpl w:val="EC5283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oNotDisplayPageBoundaries/>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602D0"/>
    <w:rsid w:val="00167950"/>
    <w:rsid w:val="001A520E"/>
    <w:rsid w:val="00215789"/>
    <w:rsid w:val="00223595"/>
    <w:rsid w:val="00227B1E"/>
    <w:rsid w:val="00242762"/>
    <w:rsid w:val="0027145D"/>
    <w:rsid w:val="002A6350"/>
    <w:rsid w:val="002F2AF8"/>
    <w:rsid w:val="002F2DAF"/>
    <w:rsid w:val="0031177E"/>
    <w:rsid w:val="003238EA"/>
    <w:rsid w:val="003E6FB4"/>
    <w:rsid w:val="00406FF4"/>
    <w:rsid w:val="00414707"/>
    <w:rsid w:val="004F6547"/>
    <w:rsid w:val="00563972"/>
    <w:rsid w:val="005840A5"/>
    <w:rsid w:val="00595774"/>
    <w:rsid w:val="005D5588"/>
    <w:rsid w:val="005E064F"/>
    <w:rsid w:val="005E06EF"/>
    <w:rsid w:val="00625A9B"/>
    <w:rsid w:val="00653DCC"/>
    <w:rsid w:val="00682218"/>
    <w:rsid w:val="00690040"/>
    <w:rsid w:val="006F488F"/>
    <w:rsid w:val="00726AE8"/>
    <w:rsid w:val="0073236D"/>
    <w:rsid w:val="00756255"/>
    <w:rsid w:val="00793593"/>
    <w:rsid w:val="007A73B4"/>
    <w:rsid w:val="007C0B3F"/>
    <w:rsid w:val="007C3E67"/>
    <w:rsid w:val="00851C0B"/>
    <w:rsid w:val="008631A7"/>
    <w:rsid w:val="008C4A46"/>
    <w:rsid w:val="00977AFA"/>
    <w:rsid w:val="009841B0"/>
    <w:rsid w:val="009B51FA"/>
    <w:rsid w:val="009C7253"/>
    <w:rsid w:val="009E38A6"/>
    <w:rsid w:val="00A26586"/>
    <w:rsid w:val="00A30BC9"/>
    <w:rsid w:val="00A3144F"/>
    <w:rsid w:val="00A65EE6"/>
    <w:rsid w:val="00A67B2F"/>
    <w:rsid w:val="00A81436"/>
    <w:rsid w:val="00AE65FD"/>
    <w:rsid w:val="00B01E92"/>
    <w:rsid w:val="00B25322"/>
    <w:rsid w:val="00BC1A9C"/>
    <w:rsid w:val="00BD4D28"/>
    <w:rsid w:val="00BE00E6"/>
    <w:rsid w:val="00C23584"/>
    <w:rsid w:val="00C25FA1"/>
    <w:rsid w:val="00CA70A4"/>
    <w:rsid w:val="00CF0233"/>
    <w:rsid w:val="00D534B4"/>
    <w:rsid w:val="00D55B56"/>
    <w:rsid w:val="00D85E81"/>
    <w:rsid w:val="00D95780"/>
    <w:rsid w:val="00DA0871"/>
    <w:rsid w:val="00DA14B1"/>
    <w:rsid w:val="00DD368F"/>
    <w:rsid w:val="00DE36A1"/>
    <w:rsid w:val="00E12E2F"/>
    <w:rsid w:val="00E36BAA"/>
    <w:rsid w:val="00E4085F"/>
    <w:rsid w:val="00E75FCE"/>
    <w:rsid w:val="00E760E6"/>
    <w:rsid w:val="00ED79E7"/>
    <w:rsid w:val="00F41943"/>
    <w:rsid w:val="00F81813"/>
    <w:rsid w:val="00FB2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42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Spacing">
    <w:name w:val="No Spacing"/>
    <w:uiPriority w:val="1"/>
    <w:qFormat/>
    <w:rsid w:val="0059577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s://asalh.org/about-us/our-history/" TargetMode="External"/><Relationship Id="rId18" Type="http://schemas.openxmlformats.org/officeDocument/2006/relationships/hyperlink" Target="https://www.nps.gov/index.htm" TargetMode="External"/><Relationship Id="rId26" Type="http://schemas.openxmlformats.org/officeDocument/2006/relationships/hyperlink" Target="http://mlkcommission.dls.virginia.gov/mlk/resources.html" TargetMode="External"/><Relationship Id="rId3" Type="http://schemas.openxmlformats.org/officeDocument/2006/relationships/styles" Target="styles.xml"/><Relationship Id="rId21" Type="http://schemas.openxmlformats.org/officeDocument/2006/relationships/hyperlink" Target="http://www.africanamericanhistorymonth.gov/" TargetMode="External"/><Relationship Id="rId34" Type="http://schemas.openxmlformats.org/officeDocument/2006/relationships/hyperlink" Target="http://www.va-doeapp.com/StaffByDivisions.aspx?o=Learning&amp;w=true" TargetMode="External"/><Relationship Id="rId7" Type="http://schemas.openxmlformats.org/officeDocument/2006/relationships/endnotes" Target="endnotes.xml"/><Relationship Id="rId12" Type="http://schemas.openxmlformats.org/officeDocument/2006/relationships/hyperlink" Target="https://nmaahc.si.edu/" TargetMode="External"/><Relationship Id="rId17" Type="http://schemas.openxmlformats.org/officeDocument/2006/relationships/hyperlink" Target="https://www.nga.gov/" TargetMode="External"/><Relationship Id="rId25" Type="http://schemas.openxmlformats.org/officeDocument/2006/relationships/hyperlink" Target="http://mlkcommission.dls.virginia.gov/lincoln/projects.html" TargetMode="External"/><Relationship Id="rId33" Type="http://schemas.openxmlformats.org/officeDocument/2006/relationships/hyperlink" Target="mailto:edequityva@doe.virginia.gov" TargetMode="External"/><Relationship Id="rId2" Type="http://schemas.openxmlformats.org/officeDocument/2006/relationships/numbering" Target="numbering.xml"/><Relationship Id="rId16" Type="http://schemas.openxmlformats.org/officeDocument/2006/relationships/hyperlink" Target="https://www.neh.gov/" TargetMode="External"/><Relationship Id="rId20" Type="http://schemas.openxmlformats.org/officeDocument/2006/relationships/hyperlink" Target="https://www.ushmm.org/" TargetMode="External"/><Relationship Id="rId29" Type="http://schemas.openxmlformats.org/officeDocument/2006/relationships/hyperlink" Target="https://www.americanevolution2019.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alh.org/black-history-themes/" TargetMode="External"/><Relationship Id="rId24" Type="http://schemas.openxmlformats.org/officeDocument/2006/relationships/hyperlink" Target="http://mlkcommission.dls.virginia.gov/" TargetMode="External"/><Relationship Id="rId32" Type="http://schemas.openxmlformats.org/officeDocument/2006/relationships/hyperlink" Target="https://www.education.virginia.gov/initiatives/aahe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rchives.gov/" TargetMode="External"/><Relationship Id="rId23" Type="http://schemas.openxmlformats.org/officeDocument/2006/relationships/hyperlink" Target="http://www.lva.virginia.gov/public/guides/vhr/afam.htm" TargetMode="External"/><Relationship Id="rId28" Type="http://schemas.openxmlformats.org/officeDocument/2006/relationships/hyperlink" Target="http://mlkcommission.dls.virginia.gov/va_school_closings/resources.html" TargetMode="External"/><Relationship Id="rId36" Type="http://schemas.openxmlformats.org/officeDocument/2006/relationships/fontTable" Target="fontTable.xml"/><Relationship Id="rId10" Type="http://schemas.openxmlformats.org/officeDocument/2006/relationships/hyperlink" Target="https://asalh.org/about-us/our-history/" TargetMode="External"/><Relationship Id="rId19" Type="http://schemas.openxmlformats.org/officeDocument/2006/relationships/hyperlink" Target="https://www.si.edu/" TargetMode="External"/><Relationship Id="rId31" Type="http://schemas.openxmlformats.org/officeDocument/2006/relationships/hyperlink" Target="https://www.nps.gov/subjects/teachingwithhistoricplaces/civil-rights-racial-healing-feature.htm"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www.loc.gov/" TargetMode="External"/><Relationship Id="rId22" Type="http://schemas.openxmlformats.org/officeDocument/2006/relationships/hyperlink" Target="https://www.archives.gov/research/alic/reference/black-history.html" TargetMode="External"/><Relationship Id="rId27" Type="http://schemas.openxmlformats.org/officeDocument/2006/relationships/hyperlink" Target="http://mlkcommission.dls.virginia.gov/lincoln/resources.html" TargetMode="External"/><Relationship Id="rId30" Type="http://schemas.openxmlformats.org/officeDocument/2006/relationships/hyperlink" Target="https://www.americanevolution2019.com/education/" TargetMode="External"/><Relationship Id="rId35" Type="http://schemas.openxmlformats.org/officeDocument/2006/relationships/hyperlink" Target="mailto:jenne.nurse@doe.virgini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AF88E-5511-48B3-8F39-83F43EDD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3</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Superintendent’s Memo #020-20</vt:lpstr>
    </vt:vector>
  </TitlesOfParts>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#020-20</dc:title>
  <dc:creator/>
  <cp:lastModifiedBy/>
  <cp:revision>1</cp:revision>
  <dcterms:created xsi:type="dcterms:W3CDTF">2020-01-22T13:27:00Z</dcterms:created>
  <dcterms:modified xsi:type="dcterms:W3CDTF">2020-01-22T13:35:00Z</dcterms:modified>
</cp:coreProperties>
</file>