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97766A">
      <w:pPr>
        <w:pStyle w:val="Heading1"/>
        <w:tabs>
          <w:tab w:val="left" w:pos="1440"/>
        </w:tabs>
        <w:spacing w:line="240" w:lineRule="auto"/>
        <w:rPr>
          <w:szCs w:val="24"/>
        </w:rPr>
      </w:pPr>
      <w:r w:rsidRPr="002F2AF8">
        <w:rPr>
          <w:szCs w:val="24"/>
        </w:rPr>
        <w:t xml:space="preserve">Superintendent’s Memo </w:t>
      </w:r>
      <w:r w:rsidR="0018461A">
        <w:rPr>
          <w:szCs w:val="24"/>
        </w:rPr>
        <w:t>#</w:t>
      </w:r>
      <w:bookmarkStart w:id="0" w:name="_GoBack"/>
      <w:r w:rsidR="0018461A">
        <w:rPr>
          <w:szCs w:val="24"/>
        </w:rPr>
        <w:t>015</w:t>
      </w:r>
      <w:r w:rsidR="006F488F">
        <w:rPr>
          <w:szCs w:val="24"/>
        </w:rPr>
        <w:t>-</w:t>
      </w:r>
      <w:r w:rsidR="007C03F6">
        <w:rPr>
          <w:szCs w:val="24"/>
        </w:rPr>
        <w:t>20</w:t>
      </w:r>
      <w:bookmarkEnd w:id="0"/>
    </w:p>
    <w:p w:rsidR="00167950" w:rsidRPr="002F2AF8" w:rsidRDefault="00167950" w:rsidP="0097766A">
      <w:pPr>
        <w:spacing w:line="240" w:lineRule="auto"/>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97766A">
      <w:pPr>
        <w:tabs>
          <w:tab w:val="left" w:pos="1800"/>
        </w:tabs>
        <w:spacing w:line="240" w:lineRule="auto"/>
        <w:rPr>
          <w:szCs w:val="24"/>
        </w:rPr>
      </w:pPr>
      <w:r w:rsidRPr="002F2AF8">
        <w:rPr>
          <w:szCs w:val="24"/>
        </w:rPr>
        <w:t>DATE:</w:t>
      </w:r>
      <w:r w:rsidR="00D95780" w:rsidRPr="002F2AF8">
        <w:rPr>
          <w:szCs w:val="24"/>
        </w:rPr>
        <w:tab/>
      </w:r>
      <w:r w:rsidR="00533424" w:rsidRPr="001439DE">
        <w:rPr>
          <w:szCs w:val="24"/>
        </w:rPr>
        <w:t>January 2</w:t>
      </w:r>
      <w:r w:rsidR="00533424">
        <w:rPr>
          <w:szCs w:val="24"/>
        </w:rPr>
        <w:t>4, 2020</w:t>
      </w:r>
    </w:p>
    <w:p w:rsidR="00167950" w:rsidRPr="002F2AF8" w:rsidRDefault="00167950" w:rsidP="0097766A">
      <w:pPr>
        <w:tabs>
          <w:tab w:val="left" w:pos="1800"/>
        </w:tabs>
        <w:spacing w:line="240" w:lineRule="auto"/>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97766A">
      <w:pPr>
        <w:tabs>
          <w:tab w:val="left" w:pos="1800"/>
        </w:tabs>
        <w:spacing w:line="240" w:lineRule="auto"/>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97766A">
      <w:pPr>
        <w:pStyle w:val="Heading2"/>
        <w:tabs>
          <w:tab w:val="left" w:pos="1800"/>
        </w:tabs>
        <w:spacing w:line="240" w:lineRule="auto"/>
        <w:ind w:left="1800" w:hanging="1800"/>
        <w:rPr>
          <w:szCs w:val="24"/>
        </w:rPr>
      </w:pPr>
      <w:r w:rsidRPr="002F2AF8">
        <w:rPr>
          <w:szCs w:val="24"/>
        </w:rPr>
        <w:t xml:space="preserve">SUBJECT: </w:t>
      </w:r>
      <w:r w:rsidR="00D95780" w:rsidRPr="002F2AF8">
        <w:rPr>
          <w:szCs w:val="24"/>
        </w:rPr>
        <w:tab/>
      </w:r>
      <w:r w:rsidR="00533424" w:rsidRPr="00D34B32">
        <w:rPr>
          <w:szCs w:val="24"/>
        </w:rPr>
        <w:t>Request for Proposals for 21st Century Community Learning Centers Competitive Grant Program</w:t>
      </w:r>
    </w:p>
    <w:p w:rsidR="00533424" w:rsidRPr="004B159D" w:rsidRDefault="00533424" w:rsidP="0097766A">
      <w:pPr>
        <w:spacing w:line="240" w:lineRule="auto"/>
        <w:rPr>
          <w:szCs w:val="24"/>
        </w:rPr>
      </w:pPr>
      <w:r w:rsidRPr="004B159D">
        <w:rPr>
          <w:szCs w:val="24"/>
        </w:rPr>
        <w:t>The Virginia Department of Education is pleased to announce the availability of 21</w:t>
      </w:r>
      <w:r w:rsidRPr="004B159D">
        <w:rPr>
          <w:szCs w:val="24"/>
          <w:vertAlign w:val="superscript"/>
        </w:rPr>
        <w:t>st</w:t>
      </w:r>
      <w:r w:rsidRPr="004B159D">
        <w:rPr>
          <w:szCs w:val="24"/>
        </w:rPr>
        <w:t xml:space="preserve"> Century Community Learning Centers (CCLC) grant funds to be awarded to school divisions and eligible organizations to support the implementation of community learning centers that will assist student learning and development. </w:t>
      </w:r>
      <w:r>
        <w:rPr>
          <w:szCs w:val="24"/>
        </w:rPr>
        <w:t xml:space="preserve"> </w:t>
      </w:r>
      <w:r w:rsidRPr="004B159D">
        <w:rPr>
          <w:szCs w:val="24"/>
        </w:rPr>
        <w:t xml:space="preserve">Funding for this program is provided through the </w:t>
      </w:r>
      <w:r w:rsidRPr="004B159D">
        <w:rPr>
          <w:i/>
          <w:szCs w:val="24"/>
        </w:rPr>
        <w:t>Elementary and Secondary Education Act of 1965</w:t>
      </w:r>
      <w:r w:rsidRPr="004B159D">
        <w:rPr>
          <w:szCs w:val="24"/>
        </w:rPr>
        <w:t xml:space="preserve"> (ESEA), as</w:t>
      </w:r>
      <w:r>
        <w:rPr>
          <w:szCs w:val="24"/>
        </w:rPr>
        <w:t xml:space="preserve"> amended</w:t>
      </w:r>
      <w:r w:rsidRPr="004B159D">
        <w:rPr>
          <w:szCs w:val="24"/>
        </w:rPr>
        <w:t>.</w:t>
      </w:r>
    </w:p>
    <w:p w:rsidR="00533424" w:rsidRPr="004B159D" w:rsidRDefault="00533424" w:rsidP="0097766A">
      <w:pPr>
        <w:spacing w:line="240" w:lineRule="auto"/>
        <w:rPr>
          <w:szCs w:val="24"/>
        </w:rPr>
      </w:pPr>
      <w:r w:rsidRPr="004B159D">
        <w:rPr>
          <w:szCs w:val="24"/>
        </w:rPr>
        <w:t>The Department will fund projects that provide significantly expanded learning opportunities for children and youth and that will assist students in meeting or exceeding state and local standards in core academic subjects.  Applicants eligible to submit a proposal for this competition are school divisions, nonprofit agencies, city or county government agencies, faith-based organizations, institutions of higher education, and for-profit corporations.</w:t>
      </w:r>
    </w:p>
    <w:p w:rsidR="0097766A" w:rsidRDefault="00533424" w:rsidP="0097766A">
      <w:pPr>
        <w:spacing w:after="0" w:line="240" w:lineRule="auto"/>
        <w:rPr>
          <w:szCs w:val="24"/>
        </w:rPr>
      </w:pPr>
      <w:r w:rsidRPr="004B159D">
        <w:rPr>
          <w:szCs w:val="24"/>
        </w:rPr>
        <w:t>Priority points will be given to those applicants that:</w:t>
      </w:r>
    </w:p>
    <w:p w:rsidR="0097766A" w:rsidRDefault="0097766A" w:rsidP="0097766A">
      <w:pPr>
        <w:spacing w:after="0" w:line="240" w:lineRule="auto"/>
        <w:rPr>
          <w:szCs w:val="24"/>
        </w:rPr>
      </w:pPr>
    </w:p>
    <w:p w:rsidR="0097766A" w:rsidRDefault="00533424" w:rsidP="0097766A">
      <w:pPr>
        <w:pStyle w:val="ListParagraph"/>
        <w:numPr>
          <w:ilvl w:val="0"/>
          <w:numId w:val="4"/>
        </w:numPr>
        <w:rPr>
          <w:szCs w:val="24"/>
        </w:rPr>
      </w:pPr>
      <w:r w:rsidRPr="0097766A">
        <w:rPr>
          <w:szCs w:val="24"/>
        </w:rPr>
        <w:t>Jointly submit applications between at least one local school division and at least one public or private community organization;</w:t>
      </w:r>
    </w:p>
    <w:p w:rsidR="0097766A" w:rsidRDefault="00533424" w:rsidP="0097766A">
      <w:pPr>
        <w:pStyle w:val="ListParagraph"/>
        <w:numPr>
          <w:ilvl w:val="0"/>
          <w:numId w:val="4"/>
        </w:numPr>
        <w:rPr>
          <w:szCs w:val="24"/>
        </w:rPr>
      </w:pPr>
      <w:r w:rsidRPr="0097766A">
        <w:rPr>
          <w:szCs w:val="24"/>
        </w:rPr>
        <w:t xml:space="preserve">Propose to serve students in schools that either are a comprehensive support and improvement school, </w:t>
      </w:r>
      <w:r w:rsidR="00687D0A" w:rsidRPr="0097766A">
        <w:rPr>
          <w:szCs w:val="24"/>
        </w:rPr>
        <w:t xml:space="preserve">targeted support and improvement schools, </w:t>
      </w:r>
      <w:r w:rsidRPr="0097766A">
        <w:rPr>
          <w:szCs w:val="24"/>
        </w:rPr>
        <w:t>additional targeted support and improvement school, and/or not fully accredited;</w:t>
      </w:r>
    </w:p>
    <w:p w:rsidR="0097766A" w:rsidRDefault="00533424" w:rsidP="0097766A">
      <w:pPr>
        <w:pStyle w:val="ListParagraph"/>
        <w:numPr>
          <w:ilvl w:val="0"/>
          <w:numId w:val="4"/>
        </w:numPr>
        <w:rPr>
          <w:szCs w:val="24"/>
        </w:rPr>
      </w:pPr>
      <w:r w:rsidRPr="0097766A">
        <w:rPr>
          <w:szCs w:val="24"/>
        </w:rPr>
        <w:t>Propose to serve students in middle or high schools; and/or</w:t>
      </w:r>
    </w:p>
    <w:p w:rsidR="00533424" w:rsidRPr="0097766A" w:rsidRDefault="00533424" w:rsidP="0097766A">
      <w:pPr>
        <w:pStyle w:val="ListParagraph"/>
        <w:numPr>
          <w:ilvl w:val="0"/>
          <w:numId w:val="4"/>
        </w:numPr>
        <w:rPr>
          <w:szCs w:val="24"/>
        </w:rPr>
      </w:pPr>
      <w:r w:rsidRPr="0097766A">
        <w:rPr>
          <w:szCs w:val="24"/>
        </w:rPr>
        <w:t>Propose to serve schools with a free and reduced price lunch eligibility of 75 percent or greater.</w:t>
      </w:r>
    </w:p>
    <w:p w:rsidR="00533424" w:rsidRDefault="00533424" w:rsidP="0097766A">
      <w:pPr>
        <w:spacing w:after="0" w:line="240" w:lineRule="auto"/>
        <w:rPr>
          <w:szCs w:val="24"/>
        </w:rPr>
      </w:pPr>
    </w:p>
    <w:p w:rsidR="00533424" w:rsidRDefault="00533424" w:rsidP="0097766A">
      <w:pPr>
        <w:spacing w:after="0" w:line="240" w:lineRule="auto"/>
        <w:rPr>
          <w:szCs w:val="24"/>
        </w:rPr>
      </w:pPr>
      <w:r w:rsidRPr="004B159D">
        <w:rPr>
          <w:szCs w:val="24"/>
        </w:rPr>
        <w:t xml:space="preserve">Applicants </w:t>
      </w:r>
      <w:r>
        <w:rPr>
          <w:szCs w:val="24"/>
        </w:rPr>
        <w:t>must</w:t>
      </w:r>
      <w:r w:rsidRPr="004B159D">
        <w:rPr>
          <w:szCs w:val="24"/>
        </w:rPr>
        <w:t xml:space="preserve"> consult extensively with parents, community organizations, businesses, arts and cultural organizations, and other youth development agencies to develop 21</w:t>
      </w:r>
      <w:r w:rsidRPr="004B159D">
        <w:rPr>
          <w:szCs w:val="24"/>
          <w:vertAlign w:val="superscript"/>
        </w:rPr>
        <w:t>st</w:t>
      </w:r>
      <w:r w:rsidRPr="004B159D">
        <w:rPr>
          <w:szCs w:val="24"/>
        </w:rPr>
        <w:t xml:space="preserve"> </w:t>
      </w:r>
      <w:r w:rsidR="0097766A">
        <w:rPr>
          <w:szCs w:val="24"/>
        </w:rPr>
        <w:t>CCLC proposals</w:t>
      </w:r>
      <w:r>
        <w:rPr>
          <w:szCs w:val="24"/>
        </w:rPr>
        <w:t>.</w:t>
      </w:r>
    </w:p>
    <w:p w:rsidR="00533424" w:rsidRPr="004B159D" w:rsidRDefault="00533424" w:rsidP="0097766A">
      <w:pPr>
        <w:spacing w:after="0" w:line="240" w:lineRule="auto"/>
        <w:rPr>
          <w:szCs w:val="24"/>
        </w:rPr>
      </w:pPr>
    </w:p>
    <w:p w:rsidR="00533424" w:rsidRDefault="00533424" w:rsidP="0097766A">
      <w:pPr>
        <w:spacing w:line="240" w:lineRule="auto"/>
        <w:rPr>
          <w:szCs w:val="24"/>
        </w:rPr>
      </w:pPr>
      <w:r w:rsidRPr="004B159D">
        <w:rPr>
          <w:szCs w:val="24"/>
        </w:rPr>
        <w:t>Technical assistance workshops are scheduled</w:t>
      </w:r>
      <w:r>
        <w:rPr>
          <w:szCs w:val="24"/>
        </w:rPr>
        <w:t xml:space="preserve"> as outlined below.</w:t>
      </w:r>
    </w:p>
    <w:p w:rsidR="0097766A" w:rsidRDefault="0097766A" w:rsidP="0097766A">
      <w:pPr>
        <w:spacing w:line="240" w:lineRule="auto"/>
        <w:rPr>
          <w:szCs w:val="24"/>
        </w:rPr>
      </w:pPr>
    </w:p>
    <w:tbl>
      <w:tblPr>
        <w:tblStyle w:val="TableGrid"/>
        <w:tblW w:w="9810" w:type="dxa"/>
        <w:tblInd w:w="-185" w:type="dxa"/>
        <w:tblLayout w:type="fixed"/>
        <w:tblLook w:val="04A0" w:firstRow="1" w:lastRow="0" w:firstColumn="1" w:lastColumn="0" w:noHBand="0" w:noVBand="1"/>
        <w:tblCaption w:val="Technical Assistance Workshops"/>
        <w:tblDescription w:val="This table provides the location, date, and times for three technical assistance workshops."/>
      </w:tblPr>
      <w:tblGrid>
        <w:gridCol w:w="4950"/>
        <w:gridCol w:w="1800"/>
        <w:gridCol w:w="1530"/>
        <w:gridCol w:w="1530"/>
      </w:tblGrid>
      <w:tr w:rsidR="00533424" w:rsidTr="007C03F6">
        <w:trPr>
          <w:tblHeader/>
        </w:trPr>
        <w:tc>
          <w:tcPr>
            <w:tcW w:w="4950" w:type="dxa"/>
          </w:tcPr>
          <w:p w:rsidR="00533424" w:rsidRPr="00B417E8" w:rsidRDefault="00533424" w:rsidP="0097766A">
            <w:pPr>
              <w:jc w:val="center"/>
              <w:rPr>
                <w:b/>
                <w:color w:val="000000" w:themeColor="text1"/>
                <w:szCs w:val="24"/>
              </w:rPr>
            </w:pPr>
            <w:r w:rsidRPr="004B159D">
              <w:rPr>
                <w:szCs w:val="24"/>
              </w:rPr>
              <w:lastRenderedPageBreak/>
              <w:t xml:space="preserve"> </w:t>
            </w:r>
            <w:r w:rsidRPr="00B417E8">
              <w:rPr>
                <w:b/>
                <w:color w:val="000000" w:themeColor="text1"/>
                <w:szCs w:val="24"/>
              </w:rPr>
              <w:t>Location</w:t>
            </w:r>
          </w:p>
        </w:tc>
        <w:tc>
          <w:tcPr>
            <w:tcW w:w="1800" w:type="dxa"/>
          </w:tcPr>
          <w:p w:rsidR="00533424" w:rsidRPr="00B417E8" w:rsidRDefault="00533424" w:rsidP="0097766A">
            <w:pPr>
              <w:jc w:val="center"/>
              <w:rPr>
                <w:b/>
                <w:color w:val="000000" w:themeColor="text1"/>
                <w:szCs w:val="24"/>
              </w:rPr>
            </w:pPr>
            <w:r w:rsidRPr="00B417E8">
              <w:rPr>
                <w:b/>
                <w:color w:val="000000" w:themeColor="text1"/>
                <w:szCs w:val="24"/>
              </w:rPr>
              <w:t>Date</w:t>
            </w:r>
          </w:p>
        </w:tc>
        <w:tc>
          <w:tcPr>
            <w:tcW w:w="1530" w:type="dxa"/>
          </w:tcPr>
          <w:p w:rsidR="00533424" w:rsidRPr="00B417E8" w:rsidRDefault="00533424" w:rsidP="0097766A">
            <w:pPr>
              <w:jc w:val="center"/>
              <w:rPr>
                <w:b/>
                <w:color w:val="000000" w:themeColor="text1"/>
                <w:szCs w:val="24"/>
              </w:rPr>
            </w:pPr>
            <w:r w:rsidRPr="00B417E8">
              <w:rPr>
                <w:b/>
                <w:color w:val="000000" w:themeColor="text1"/>
                <w:szCs w:val="24"/>
              </w:rPr>
              <w:t>Registration</w:t>
            </w:r>
          </w:p>
        </w:tc>
        <w:tc>
          <w:tcPr>
            <w:tcW w:w="1530" w:type="dxa"/>
          </w:tcPr>
          <w:p w:rsidR="00533424" w:rsidRPr="00B417E8" w:rsidRDefault="00533424" w:rsidP="0097766A">
            <w:pPr>
              <w:jc w:val="center"/>
              <w:rPr>
                <w:b/>
                <w:color w:val="000000" w:themeColor="text1"/>
                <w:szCs w:val="24"/>
              </w:rPr>
            </w:pPr>
            <w:r w:rsidRPr="00B417E8">
              <w:rPr>
                <w:b/>
                <w:color w:val="000000" w:themeColor="text1"/>
                <w:szCs w:val="24"/>
              </w:rPr>
              <w:t>Workshop</w:t>
            </w:r>
          </w:p>
        </w:tc>
      </w:tr>
      <w:tr w:rsidR="00533424" w:rsidTr="007C03F6">
        <w:tc>
          <w:tcPr>
            <w:tcW w:w="4950" w:type="dxa"/>
          </w:tcPr>
          <w:p w:rsidR="007C03F6" w:rsidRDefault="007C03F6" w:rsidP="0097766A">
            <w:pPr>
              <w:rPr>
                <w:bCs/>
                <w:snapToGrid w:val="0"/>
                <w:color w:val="000000" w:themeColor="text1"/>
                <w:szCs w:val="24"/>
              </w:rPr>
            </w:pPr>
            <w:r>
              <w:rPr>
                <w:bCs/>
                <w:snapToGrid w:val="0"/>
                <w:color w:val="000000" w:themeColor="text1"/>
                <w:szCs w:val="24"/>
              </w:rPr>
              <w:t>The Hotel Roanoke &amp; Conference Center</w:t>
            </w:r>
          </w:p>
          <w:p w:rsidR="007C03F6" w:rsidRPr="00FF3CB7" w:rsidRDefault="007C03F6" w:rsidP="0097766A">
            <w:pPr>
              <w:rPr>
                <w:color w:val="222222"/>
                <w:szCs w:val="24"/>
                <w:shd w:val="clear" w:color="auto" w:fill="FFFFFF"/>
              </w:rPr>
            </w:pPr>
            <w:r>
              <w:rPr>
                <w:color w:val="222222"/>
                <w:szCs w:val="24"/>
                <w:shd w:val="clear" w:color="auto" w:fill="FFFFFF"/>
              </w:rPr>
              <w:t>110 Shenandoah Ave NW</w:t>
            </w:r>
          </w:p>
          <w:p w:rsidR="00533424" w:rsidRPr="003B0A70" w:rsidRDefault="007C03F6" w:rsidP="0097766A">
            <w:pPr>
              <w:rPr>
                <w:szCs w:val="24"/>
              </w:rPr>
            </w:pPr>
            <w:r>
              <w:rPr>
                <w:color w:val="222222"/>
                <w:szCs w:val="24"/>
                <w:shd w:val="clear" w:color="auto" w:fill="FFFFFF"/>
              </w:rPr>
              <w:t>Roanoke, Virginia 24016</w:t>
            </w:r>
          </w:p>
        </w:tc>
        <w:tc>
          <w:tcPr>
            <w:tcW w:w="1800" w:type="dxa"/>
          </w:tcPr>
          <w:p w:rsidR="00533424" w:rsidRPr="005121BB" w:rsidRDefault="00533424" w:rsidP="0097766A">
            <w:pPr>
              <w:rPr>
                <w:bCs/>
                <w:snapToGrid w:val="0"/>
                <w:color w:val="000000" w:themeColor="text1"/>
                <w:szCs w:val="24"/>
              </w:rPr>
            </w:pPr>
            <w:r w:rsidRPr="005121BB">
              <w:rPr>
                <w:bCs/>
                <w:snapToGrid w:val="0"/>
                <w:color w:val="000000" w:themeColor="text1"/>
                <w:szCs w:val="24"/>
              </w:rPr>
              <w:t xml:space="preserve">Tuesday, </w:t>
            </w:r>
          </w:p>
          <w:p w:rsidR="00533424" w:rsidRPr="00CF508F" w:rsidRDefault="00533424" w:rsidP="0097766A">
            <w:pPr>
              <w:rPr>
                <w:szCs w:val="24"/>
                <w:highlight w:val="yellow"/>
              </w:rPr>
            </w:pPr>
            <w:r w:rsidRPr="005121BB">
              <w:rPr>
                <w:bCs/>
                <w:snapToGrid w:val="0"/>
                <w:color w:val="000000" w:themeColor="text1"/>
                <w:szCs w:val="24"/>
              </w:rPr>
              <w:t xml:space="preserve">March </w:t>
            </w:r>
            <w:r w:rsidR="007C03F6">
              <w:rPr>
                <w:bCs/>
                <w:snapToGrid w:val="0"/>
                <w:color w:val="000000" w:themeColor="text1"/>
                <w:szCs w:val="24"/>
              </w:rPr>
              <w:t>3</w:t>
            </w:r>
            <w:r w:rsidRPr="005121BB">
              <w:rPr>
                <w:bCs/>
                <w:snapToGrid w:val="0"/>
                <w:color w:val="000000" w:themeColor="text1"/>
                <w:szCs w:val="24"/>
              </w:rPr>
              <w:t>, 20</w:t>
            </w:r>
            <w:r w:rsidR="007C03F6">
              <w:rPr>
                <w:bCs/>
                <w:snapToGrid w:val="0"/>
                <w:color w:val="000000" w:themeColor="text1"/>
                <w:szCs w:val="24"/>
              </w:rPr>
              <w:t>20</w:t>
            </w:r>
          </w:p>
        </w:tc>
        <w:tc>
          <w:tcPr>
            <w:tcW w:w="1530" w:type="dxa"/>
          </w:tcPr>
          <w:p w:rsidR="00533424" w:rsidRPr="00FF4B17" w:rsidRDefault="00533424" w:rsidP="0097766A">
            <w:pPr>
              <w:rPr>
                <w:szCs w:val="24"/>
              </w:rPr>
            </w:pPr>
            <w:r w:rsidRPr="00FF4B17">
              <w:rPr>
                <w:szCs w:val="24"/>
              </w:rPr>
              <w:t xml:space="preserve">8:30 a.m. </w:t>
            </w:r>
          </w:p>
        </w:tc>
        <w:tc>
          <w:tcPr>
            <w:tcW w:w="1530" w:type="dxa"/>
          </w:tcPr>
          <w:p w:rsidR="00533424" w:rsidRPr="00FF4B17" w:rsidRDefault="00533424" w:rsidP="0097766A">
            <w:pPr>
              <w:rPr>
                <w:szCs w:val="24"/>
              </w:rPr>
            </w:pPr>
            <w:r w:rsidRPr="00FF4B17">
              <w:rPr>
                <w:szCs w:val="24"/>
              </w:rPr>
              <w:t>9 a.m.-3 p.m.</w:t>
            </w:r>
          </w:p>
        </w:tc>
      </w:tr>
      <w:tr w:rsidR="00533424" w:rsidTr="007C03F6">
        <w:trPr>
          <w:trHeight w:val="863"/>
        </w:trPr>
        <w:tc>
          <w:tcPr>
            <w:tcW w:w="4950" w:type="dxa"/>
          </w:tcPr>
          <w:p w:rsidR="00533424" w:rsidRDefault="00533424" w:rsidP="0097766A">
            <w:pPr>
              <w:rPr>
                <w:szCs w:val="24"/>
              </w:rPr>
            </w:pPr>
            <w:r>
              <w:rPr>
                <w:szCs w:val="24"/>
              </w:rPr>
              <w:t>Workforce Development and Conference Center</w:t>
            </w:r>
          </w:p>
          <w:p w:rsidR="00533424" w:rsidRDefault="00533424" w:rsidP="0097766A">
            <w:pPr>
              <w:rPr>
                <w:szCs w:val="24"/>
              </w:rPr>
            </w:pPr>
            <w:r>
              <w:rPr>
                <w:szCs w:val="24"/>
              </w:rPr>
              <w:t xml:space="preserve">J. Sargeant Reynolds Community College </w:t>
            </w:r>
          </w:p>
          <w:p w:rsidR="00533424" w:rsidRPr="00673773" w:rsidRDefault="00533424" w:rsidP="0097766A">
            <w:pPr>
              <w:rPr>
                <w:bCs/>
                <w:snapToGrid w:val="0"/>
                <w:color w:val="000000" w:themeColor="text1"/>
                <w:szCs w:val="24"/>
              </w:rPr>
            </w:pPr>
            <w:r>
              <w:rPr>
                <w:szCs w:val="24"/>
              </w:rPr>
              <w:t>Richmond, Virginia</w:t>
            </w:r>
            <w:r w:rsidR="007C03F6">
              <w:rPr>
                <w:szCs w:val="24"/>
              </w:rPr>
              <w:t xml:space="preserve"> 23228</w:t>
            </w:r>
          </w:p>
        </w:tc>
        <w:tc>
          <w:tcPr>
            <w:tcW w:w="1800" w:type="dxa"/>
          </w:tcPr>
          <w:p w:rsidR="00533424" w:rsidRPr="007F50A5" w:rsidRDefault="00533424" w:rsidP="0097766A">
            <w:pPr>
              <w:rPr>
                <w:bCs/>
                <w:snapToGrid w:val="0"/>
                <w:color w:val="000000" w:themeColor="text1"/>
                <w:szCs w:val="24"/>
              </w:rPr>
            </w:pPr>
            <w:r>
              <w:rPr>
                <w:bCs/>
                <w:snapToGrid w:val="0"/>
                <w:color w:val="000000" w:themeColor="text1"/>
                <w:szCs w:val="24"/>
              </w:rPr>
              <w:t xml:space="preserve">Wednesday, March </w:t>
            </w:r>
            <w:r w:rsidR="007C03F6">
              <w:rPr>
                <w:bCs/>
                <w:snapToGrid w:val="0"/>
                <w:color w:val="000000" w:themeColor="text1"/>
                <w:szCs w:val="24"/>
              </w:rPr>
              <w:t>4</w:t>
            </w:r>
            <w:r>
              <w:rPr>
                <w:bCs/>
                <w:snapToGrid w:val="0"/>
                <w:color w:val="000000" w:themeColor="text1"/>
                <w:szCs w:val="24"/>
              </w:rPr>
              <w:t>, 20</w:t>
            </w:r>
            <w:r w:rsidR="007C03F6">
              <w:rPr>
                <w:bCs/>
                <w:snapToGrid w:val="0"/>
                <w:color w:val="000000" w:themeColor="text1"/>
                <w:szCs w:val="24"/>
              </w:rPr>
              <w:t>20</w:t>
            </w:r>
          </w:p>
        </w:tc>
        <w:tc>
          <w:tcPr>
            <w:tcW w:w="1530" w:type="dxa"/>
          </w:tcPr>
          <w:p w:rsidR="00533424" w:rsidRDefault="00533424" w:rsidP="0097766A">
            <w:pPr>
              <w:rPr>
                <w:szCs w:val="24"/>
              </w:rPr>
            </w:pPr>
            <w:r>
              <w:rPr>
                <w:szCs w:val="24"/>
              </w:rPr>
              <w:t>8:30 a.m.</w:t>
            </w:r>
          </w:p>
        </w:tc>
        <w:tc>
          <w:tcPr>
            <w:tcW w:w="1530" w:type="dxa"/>
          </w:tcPr>
          <w:p w:rsidR="00533424" w:rsidRDefault="00533424" w:rsidP="0097766A">
            <w:pPr>
              <w:rPr>
                <w:szCs w:val="24"/>
              </w:rPr>
            </w:pPr>
            <w:r>
              <w:rPr>
                <w:szCs w:val="24"/>
              </w:rPr>
              <w:t>9 a.m.-3 p.m.</w:t>
            </w:r>
          </w:p>
        </w:tc>
      </w:tr>
      <w:tr w:rsidR="00533424" w:rsidTr="007C03F6">
        <w:tc>
          <w:tcPr>
            <w:tcW w:w="4950" w:type="dxa"/>
          </w:tcPr>
          <w:p w:rsidR="007C03F6" w:rsidRPr="00116F9F" w:rsidRDefault="007C03F6" w:rsidP="0097766A">
            <w:pPr>
              <w:rPr>
                <w:bCs/>
                <w:color w:val="000000" w:themeColor="text1"/>
                <w:sz w:val="23"/>
                <w:szCs w:val="23"/>
              </w:rPr>
            </w:pPr>
            <w:r>
              <w:rPr>
                <w:bCs/>
                <w:color w:val="000000" w:themeColor="text1"/>
                <w:sz w:val="23"/>
                <w:szCs w:val="23"/>
              </w:rPr>
              <w:t>The Founders Inn</w:t>
            </w:r>
          </w:p>
          <w:p w:rsidR="007C03F6" w:rsidRPr="00116F9F" w:rsidRDefault="007C03F6" w:rsidP="0097766A">
            <w:pPr>
              <w:rPr>
                <w:color w:val="222222"/>
                <w:sz w:val="23"/>
                <w:szCs w:val="23"/>
                <w:shd w:val="clear" w:color="auto" w:fill="FFFFFF"/>
              </w:rPr>
            </w:pPr>
            <w:r>
              <w:rPr>
                <w:color w:val="222222"/>
                <w:sz w:val="23"/>
                <w:szCs w:val="23"/>
                <w:shd w:val="clear" w:color="auto" w:fill="FFFFFF"/>
              </w:rPr>
              <w:t>5641 Indian River Road</w:t>
            </w:r>
          </w:p>
          <w:p w:rsidR="00533424" w:rsidRPr="00FF3CB7" w:rsidRDefault="007C03F6" w:rsidP="0097766A">
            <w:pPr>
              <w:rPr>
                <w:szCs w:val="24"/>
              </w:rPr>
            </w:pPr>
            <w:r>
              <w:rPr>
                <w:color w:val="222222"/>
                <w:sz w:val="23"/>
                <w:szCs w:val="23"/>
                <w:shd w:val="clear" w:color="auto" w:fill="FFFFFF"/>
              </w:rPr>
              <w:t>Virginia Beach, Virginia</w:t>
            </w:r>
            <w:r w:rsidRPr="00116F9F">
              <w:rPr>
                <w:color w:val="222222"/>
                <w:sz w:val="23"/>
                <w:szCs w:val="23"/>
                <w:shd w:val="clear" w:color="auto" w:fill="FFFFFF"/>
              </w:rPr>
              <w:t xml:space="preserve"> 2</w:t>
            </w:r>
            <w:r>
              <w:rPr>
                <w:color w:val="222222"/>
                <w:sz w:val="23"/>
                <w:szCs w:val="23"/>
                <w:shd w:val="clear" w:color="auto" w:fill="FFFFFF"/>
              </w:rPr>
              <w:t>3464</w:t>
            </w:r>
          </w:p>
        </w:tc>
        <w:tc>
          <w:tcPr>
            <w:tcW w:w="1800" w:type="dxa"/>
          </w:tcPr>
          <w:p w:rsidR="00533424" w:rsidRDefault="00533424" w:rsidP="0097766A">
            <w:pPr>
              <w:rPr>
                <w:bCs/>
                <w:snapToGrid w:val="0"/>
                <w:szCs w:val="24"/>
              </w:rPr>
            </w:pPr>
            <w:r>
              <w:rPr>
                <w:bCs/>
                <w:snapToGrid w:val="0"/>
                <w:color w:val="000000" w:themeColor="text1"/>
                <w:szCs w:val="24"/>
              </w:rPr>
              <w:t>Monday,</w:t>
            </w:r>
          </w:p>
          <w:p w:rsidR="00533424" w:rsidRDefault="00533424" w:rsidP="0097766A">
            <w:pPr>
              <w:rPr>
                <w:szCs w:val="24"/>
              </w:rPr>
            </w:pPr>
            <w:r>
              <w:rPr>
                <w:bCs/>
                <w:snapToGrid w:val="0"/>
                <w:szCs w:val="24"/>
              </w:rPr>
              <w:t xml:space="preserve">March </w:t>
            </w:r>
            <w:r w:rsidR="007C03F6">
              <w:rPr>
                <w:bCs/>
                <w:snapToGrid w:val="0"/>
                <w:szCs w:val="24"/>
              </w:rPr>
              <w:t>9</w:t>
            </w:r>
            <w:r w:rsidRPr="007F50A5">
              <w:rPr>
                <w:bCs/>
                <w:snapToGrid w:val="0"/>
                <w:szCs w:val="24"/>
              </w:rPr>
              <w:t>, 20</w:t>
            </w:r>
            <w:r w:rsidR="007C03F6">
              <w:rPr>
                <w:bCs/>
                <w:snapToGrid w:val="0"/>
                <w:szCs w:val="24"/>
              </w:rPr>
              <w:t>20</w:t>
            </w:r>
          </w:p>
        </w:tc>
        <w:tc>
          <w:tcPr>
            <w:tcW w:w="1530" w:type="dxa"/>
          </w:tcPr>
          <w:p w:rsidR="00533424" w:rsidRDefault="00533424" w:rsidP="0097766A">
            <w:pPr>
              <w:rPr>
                <w:szCs w:val="24"/>
              </w:rPr>
            </w:pPr>
            <w:r>
              <w:rPr>
                <w:szCs w:val="24"/>
              </w:rPr>
              <w:t>8:30 a.m.</w:t>
            </w:r>
          </w:p>
        </w:tc>
        <w:tc>
          <w:tcPr>
            <w:tcW w:w="1530" w:type="dxa"/>
          </w:tcPr>
          <w:p w:rsidR="00533424" w:rsidRDefault="00533424" w:rsidP="0097766A">
            <w:pPr>
              <w:rPr>
                <w:szCs w:val="24"/>
              </w:rPr>
            </w:pPr>
            <w:r>
              <w:rPr>
                <w:szCs w:val="24"/>
              </w:rPr>
              <w:t>9 a.m.-3 p.m.</w:t>
            </w:r>
          </w:p>
        </w:tc>
      </w:tr>
    </w:tbl>
    <w:p w:rsidR="00533424" w:rsidRDefault="00533424" w:rsidP="0097766A">
      <w:pPr>
        <w:spacing w:line="240" w:lineRule="auto"/>
        <w:rPr>
          <w:szCs w:val="24"/>
        </w:rPr>
      </w:pPr>
    </w:p>
    <w:p w:rsidR="00533424" w:rsidRPr="004B159D" w:rsidRDefault="0097766A" w:rsidP="0097766A">
      <w:pPr>
        <w:spacing w:after="0" w:line="240" w:lineRule="auto"/>
        <w:rPr>
          <w:szCs w:val="24"/>
        </w:rPr>
      </w:pPr>
      <w:r>
        <w:rPr>
          <w:szCs w:val="24"/>
        </w:rPr>
        <w:t xml:space="preserve">The registration form is </w:t>
      </w:r>
      <w:r w:rsidR="00533424" w:rsidRPr="004B159D">
        <w:rPr>
          <w:szCs w:val="24"/>
        </w:rPr>
        <w:t xml:space="preserve">included in Attachment A. </w:t>
      </w:r>
      <w:r w:rsidR="00533424">
        <w:rPr>
          <w:szCs w:val="24"/>
        </w:rPr>
        <w:t xml:space="preserve"> </w:t>
      </w:r>
      <w:r w:rsidR="00533424" w:rsidRPr="004B159D">
        <w:rPr>
          <w:szCs w:val="24"/>
        </w:rPr>
        <w:t xml:space="preserve">School divisions and eligible organizations interested in attending one of the workshops should submit a registration form no later than </w:t>
      </w:r>
      <w:r w:rsidR="00533424">
        <w:rPr>
          <w:szCs w:val="24"/>
        </w:rPr>
        <w:t>Friday</w:t>
      </w:r>
      <w:r w:rsidR="00533424" w:rsidRPr="004B159D">
        <w:rPr>
          <w:szCs w:val="24"/>
        </w:rPr>
        <w:t xml:space="preserve">, February </w:t>
      </w:r>
      <w:r w:rsidR="00533424">
        <w:rPr>
          <w:szCs w:val="24"/>
        </w:rPr>
        <w:t>2</w:t>
      </w:r>
      <w:r w:rsidR="007C03F6">
        <w:rPr>
          <w:szCs w:val="24"/>
        </w:rPr>
        <w:t>1</w:t>
      </w:r>
      <w:r w:rsidR="00533424" w:rsidRPr="004B159D">
        <w:rPr>
          <w:szCs w:val="24"/>
        </w:rPr>
        <w:t>, 20</w:t>
      </w:r>
      <w:r w:rsidR="007C03F6">
        <w:rPr>
          <w:szCs w:val="24"/>
        </w:rPr>
        <w:t>20</w:t>
      </w:r>
      <w:r w:rsidR="00533424" w:rsidRPr="004B159D">
        <w:rPr>
          <w:szCs w:val="24"/>
        </w:rPr>
        <w:t>.</w:t>
      </w:r>
    </w:p>
    <w:p w:rsidR="00533424" w:rsidRPr="004B159D" w:rsidRDefault="00533424" w:rsidP="0097766A">
      <w:pPr>
        <w:pStyle w:val="BodyText2"/>
        <w:numPr>
          <w:ilvl w:val="12"/>
          <w:numId w:val="0"/>
        </w:numPr>
        <w:rPr>
          <w:szCs w:val="24"/>
        </w:rPr>
      </w:pPr>
    </w:p>
    <w:p w:rsidR="00533424" w:rsidRDefault="00533424" w:rsidP="0097766A">
      <w:pPr>
        <w:pStyle w:val="BodyText2"/>
        <w:numPr>
          <w:ilvl w:val="12"/>
          <w:numId w:val="0"/>
        </w:numPr>
        <w:rPr>
          <w:rFonts w:ascii="Arial" w:eastAsiaTheme="minorHAnsi" w:hAnsi="Arial" w:cs="Arial"/>
          <w:color w:val="000000"/>
          <w:sz w:val="18"/>
          <w:szCs w:val="18"/>
          <w:shd w:val="clear" w:color="auto" w:fill="FFFFFF"/>
        </w:rPr>
      </w:pPr>
      <w:r w:rsidRPr="004B159D">
        <w:rPr>
          <w:szCs w:val="24"/>
        </w:rPr>
        <w:t>Applications for 21</w:t>
      </w:r>
      <w:r w:rsidRPr="004B159D">
        <w:rPr>
          <w:szCs w:val="24"/>
          <w:vertAlign w:val="superscript"/>
        </w:rPr>
        <w:t>st</w:t>
      </w:r>
      <w:r w:rsidRPr="004B159D">
        <w:rPr>
          <w:szCs w:val="24"/>
        </w:rPr>
        <w:t xml:space="preserve"> CCLC competitive grant funds </w:t>
      </w:r>
      <w:r w:rsidRPr="0056462E">
        <w:rPr>
          <w:b/>
          <w:szCs w:val="24"/>
          <w:u w:val="single"/>
        </w:rPr>
        <w:t xml:space="preserve">must be received by 4 p.m. on Friday, April </w:t>
      </w:r>
      <w:r>
        <w:rPr>
          <w:b/>
          <w:szCs w:val="24"/>
          <w:u w:val="single"/>
        </w:rPr>
        <w:t>1</w:t>
      </w:r>
      <w:r w:rsidR="007C03F6">
        <w:rPr>
          <w:b/>
          <w:szCs w:val="24"/>
          <w:u w:val="single"/>
        </w:rPr>
        <w:t>0</w:t>
      </w:r>
      <w:r w:rsidRPr="0056462E">
        <w:rPr>
          <w:b/>
          <w:szCs w:val="24"/>
          <w:u w:val="single"/>
        </w:rPr>
        <w:t>, 20</w:t>
      </w:r>
      <w:r w:rsidR="007C03F6">
        <w:rPr>
          <w:b/>
          <w:szCs w:val="24"/>
          <w:u w:val="single"/>
        </w:rPr>
        <w:t>20</w:t>
      </w:r>
      <w:r w:rsidRPr="004B159D">
        <w:rPr>
          <w:b/>
          <w:szCs w:val="24"/>
        </w:rPr>
        <w:t xml:space="preserve">.  </w:t>
      </w:r>
      <w:r w:rsidRPr="00CF508F">
        <w:rPr>
          <w:rFonts w:eastAsiaTheme="minorHAnsi"/>
          <w:color w:val="000000"/>
          <w:szCs w:val="24"/>
          <w:shd w:val="clear" w:color="auto" w:fill="FFFFFF"/>
        </w:rPr>
        <w:t>The application and </w:t>
      </w:r>
      <w:r w:rsidRPr="00CF508F">
        <w:rPr>
          <w:rFonts w:eastAsiaTheme="minorHAnsi"/>
          <w:i/>
          <w:iCs/>
          <w:color w:val="000000"/>
          <w:szCs w:val="24"/>
          <w:shd w:val="clear" w:color="auto" w:fill="FFFFFF"/>
        </w:rPr>
        <w:t>Guidelines, Instructions and Assurances</w:t>
      </w:r>
      <w:r w:rsidRPr="00CF508F">
        <w:rPr>
          <w:rFonts w:eastAsiaTheme="minorHAnsi"/>
          <w:color w:val="000000"/>
          <w:szCs w:val="24"/>
          <w:shd w:val="clear" w:color="auto" w:fill="FFFFFF"/>
        </w:rPr>
        <w:t> documents are available upon request from </w:t>
      </w:r>
      <w:hyperlink r:id="rId10" w:history="1">
        <w:r w:rsidRPr="00CF508F">
          <w:rPr>
            <w:rFonts w:eastAsiaTheme="minorHAnsi"/>
            <w:color w:val="0000FF"/>
            <w:szCs w:val="24"/>
            <w:u w:val="single"/>
            <w:bdr w:val="none" w:sz="0" w:space="0" w:color="auto" w:frame="1"/>
            <w:shd w:val="clear" w:color="auto" w:fill="FFFFFF"/>
          </w:rPr>
          <w:t>21stcclc@doe.virginia.gov</w:t>
        </w:r>
      </w:hyperlink>
      <w:r>
        <w:rPr>
          <w:rFonts w:eastAsiaTheme="minorHAnsi"/>
          <w:color w:val="000000"/>
          <w:szCs w:val="24"/>
          <w:shd w:val="clear" w:color="auto" w:fill="FFFFFF"/>
        </w:rPr>
        <w:t>.</w:t>
      </w:r>
      <w:r>
        <w:rPr>
          <w:rFonts w:ascii="Arial" w:eastAsiaTheme="minorHAnsi" w:hAnsi="Arial" w:cs="Arial"/>
          <w:color w:val="000000"/>
          <w:sz w:val="18"/>
          <w:szCs w:val="18"/>
          <w:shd w:val="clear" w:color="auto" w:fill="FFFFFF"/>
        </w:rPr>
        <w:t xml:space="preserve"> </w:t>
      </w:r>
    </w:p>
    <w:p w:rsidR="00533424" w:rsidRPr="004B159D" w:rsidRDefault="00533424" w:rsidP="0097766A">
      <w:pPr>
        <w:pStyle w:val="BodyText2"/>
        <w:numPr>
          <w:ilvl w:val="12"/>
          <w:numId w:val="0"/>
        </w:numPr>
        <w:rPr>
          <w:szCs w:val="24"/>
        </w:rPr>
      </w:pPr>
    </w:p>
    <w:p w:rsidR="00533424" w:rsidRDefault="00533424" w:rsidP="0097766A">
      <w:pPr>
        <w:spacing w:after="0" w:line="240" w:lineRule="auto"/>
        <w:rPr>
          <w:szCs w:val="24"/>
        </w:rPr>
      </w:pPr>
      <w:r>
        <w:rPr>
          <w:szCs w:val="24"/>
        </w:rPr>
        <w:t xml:space="preserve">The completed application and attachments may be emailed to </w:t>
      </w:r>
      <w:hyperlink r:id="rId11" w:history="1">
        <w:r w:rsidRPr="00CF508F">
          <w:rPr>
            <w:color w:val="0000FF"/>
            <w:szCs w:val="24"/>
            <w:u w:val="single"/>
            <w:bdr w:val="none" w:sz="0" w:space="0" w:color="auto" w:frame="1"/>
            <w:shd w:val="clear" w:color="auto" w:fill="FFFFFF"/>
          </w:rPr>
          <w:t>21stcclc@doe.virginia.gov</w:t>
        </w:r>
      </w:hyperlink>
      <w:r>
        <w:rPr>
          <w:szCs w:val="24"/>
        </w:rPr>
        <w:t xml:space="preserve"> or </w:t>
      </w:r>
      <w:r w:rsidRPr="004B159D">
        <w:rPr>
          <w:szCs w:val="24"/>
        </w:rPr>
        <w:t>sent</w:t>
      </w:r>
      <w:r w:rsidRPr="004937B9">
        <w:rPr>
          <w:szCs w:val="24"/>
        </w:rPr>
        <w:t xml:space="preserve"> by</w:t>
      </w:r>
      <w:r>
        <w:rPr>
          <w:szCs w:val="24"/>
        </w:rPr>
        <w:t xml:space="preserve"> standard mail,</w:t>
      </w:r>
      <w:r w:rsidRPr="004937B9">
        <w:rPr>
          <w:szCs w:val="24"/>
        </w:rPr>
        <w:t xml:space="preserve"> overnight</w:t>
      </w:r>
      <w:r w:rsidRPr="004B159D">
        <w:rPr>
          <w:szCs w:val="24"/>
        </w:rPr>
        <w:t xml:space="preserve"> carrier</w:t>
      </w:r>
      <w:r>
        <w:rPr>
          <w:szCs w:val="24"/>
        </w:rPr>
        <w:t>,</w:t>
      </w:r>
      <w:r w:rsidRPr="004B159D">
        <w:rPr>
          <w:szCs w:val="24"/>
        </w:rPr>
        <w:t xml:space="preserve"> or hand delivered to:</w:t>
      </w:r>
    </w:p>
    <w:p w:rsidR="00486586" w:rsidRDefault="00486586" w:rsidP="0097766A">
      <w:pPr>
        <w:spacing w:after="0" w:line="240" w:lineRule="auto"/>
        <w:rPr>
          <w:szCs w:val="24"/>
        </w:rPr>
      </w:pPr>
    </w:p>
    <w:p w:rsidR="00533424" w:rsidRPr="004B159D" w:rsidRDefault="00533424" w:rsidP="0097766A">
      <w:pPr>
        <w:spacing w:after="0" w:line="240" w:lineRule="auto"/>
        <w:ind w:left="720" w:firstLine="720"/>
        <w:rPr>
          <w:szCs w:val="24"/>
        </w:rPr>
      </w:pPr>
      <w:r w:rsidRPr="004B159D">
        <w:rPr>
          <w:szCs w:val="24"/>
        </w:rPr>
        <w:t xml:space="preserve">Marsha Granderson, </w:t>
      </w:r>
      <w:r>
        <w:rPr>
          <w:szCs w:val="24"/>
        </w:rPr>
        <w:t>Title IV Coordinator</w:t>
      </w:r>
    </w:p>
    <w:p w:rsidR="00533424" w:rsidRPr="004B159D" w:rsidRDefault="00533424" w:rsidP="0097766A">
      <w:pPr>
        <w:spacing w:after="0" w:line="240" w:lineRule="auto"/>
        <w:rPr>
          <w:szCs w:val="24"/>
        </w:rPr>
      </w:pPr>
      <w:r w:rsidRPr="004B159D">
        <w:rPr>
          <w:szCs w:val="24"/>
        </w:rPr>
        <w:tab/>
      </w:r>
      <w:r w:rsidRPr="004B159D">
        <w:rPr>
          <w:szCs w:val="24"/>
        </w:rPr>
        <w:tab/>
        <w:t xml:space="preserve">Office of </w:t>
      </w:r>
      <w:r>
        <w:rPr>
          <w:szCs w:val="24"/>
        </w:rPr>
        <w:t>ESEA Programs</w:t>
      </w:r>
    </w:p>
    <w:p w:rsidR="00533424" w:rsidRPr="004B159D" w:rsidRDefault="00533424" w:rsidP="0097766A">
      <w:pPr>
        <w:spacing w:after="0" w:line="240" w:lineRule="auto"/>
        <w:rPr>
          <w:szCs w:val="24"/>
        </w:rPr>
      </w:pPr>
      <w:r w:rsidRPr="004B159D">
        <w:rPr>
          <w:szCs w:val="24"/>
        </w:rPr>
        <w:tab/>
      </w:r>
      <w:r w:rsidRPr="004B159D">
        <w:rPr>
          <w:szCs w:val="24"/>
        </w:rPr>
        <w:tab/>
        <w:t>Virginia Department of Education</w:t>
      </w:r>
    </w:p>
    <w:p w:rsidR="00533424" w:rsidRPr="004B159D" w:rsidRDefault="00533424" w:rsidP="0097766A">
      <w:pPr>
        <w:spacing w:after="0" w:line="240" w:lineRule="auto"/>
        <w:rPr>
          <w:szCs w:val="24"/>
        </w:rPr>
      </w:pPr>
      <w:r w:rsidRPr="004B159D">
        <w:rPr>
          <w:szCs w:val="24"/>
        </w:rPr>
        <w:tab/>
      </w:r>
      <w:r w:rsidRPr="004B159D">
        <w:rPr>
          <w:szCs w:val="24"/>
        </w:rPr>
        <w:tab/>
        <w:t>James Monroe Building, 23</w:t>
      </w:r>
      <w:r w:rsidRPr="004B159D">
        <w:rPr>
          <w:szCs w:val="24"/>
          <w:vertAlign w:val="superscript"/>
        </w:rPr>
        <w:t>rd</w:t>
      </w:r>
      <w:r w:rsidRPr="004B159D">
        <w:rPr>
          <w:szCs w:val="24"/>
        </w:rPr>
        <w:t xml:space="preserve"> Floor</w:t>
      </w:r>
    </w:p>
    <w:p w:rsidR="00533424" w:rsidRPr="004B159D" w:rsidRDefault="00533424" w:rsidP="0097766A">
      <w:pPr>
        <w:spacing w:after="0" w:line="240" w:lineRule="auto"/>
        <w:rPr>
          <w:szCs w:val="24"/>
        </w:rPr>
      </w:pPr>
      <w:r w:rsidRPr="004B159D">
        <w:rPr>
          <w:szCs w:val="24"/>
        </w:rPr>
        <w:tab/>
      </w:r>
      <w:r w:rsidRPr="004B159D">
        <w:rPr>
          <w:szCs w:val="24"/>
        </w:rPr>
        <w:tab/>
        <w:t>101 North 14</w:t>
      </w:r>
      <w:r w:rsidRPr="004B159D">
        <w:rPr>
          <w:szCs w:val="24"/>
          <w:vertAlign w:val="superscript"/>
        </w:rPr>
        <w:t>th</w:t>
      </w:r>
      <w:r w:rsidRPr="004B159D">
        <w:rPr>
          <w:szCs w:val="24"/>
        </w:rPr>
        <w:t xml:space="preserve"> Street</w:t>
      </w:r>
    </w:p>
    <w:p w:rsidR="00533424" w:rsidRDefault="00533424" w:rsidP="0097766A">
      <w:pPr>
        <w:spacing w:after="0" w:line="240" w:lineRule="auto"/>
        <w:rPr>
          <w:szCs w:val="24"/>
        </w:rPr>
      </w:pPr>
      <w:r w:rsidRPr="004B159D">
        <w:rPr>
          <w:szCs w:val="24"/>
        </w:rPr>
        <w:tab/>
      </w:r>
      <w:r w:rsidRPr="004B159D">
        <w:rPr>
          <w:szCs w:val="24"/>
        </w:rPr>
        <w:tab/>
        <w:t>Richmond, Virginia  23219</w:t>
      </w:r>
    </w:p>
    <w:p w:rsidR="00533424" w:rsidRDefault="00533424" w:rsidP="0097766A">
      <w:pPr>
        <w:spacing w:after="0" w:line="240" w:lineRule="auto"/>
        <w:rPr>
          <w:szCs w:val="24"/>
        </w:rPr>
      </w:pPr>
    </w:p>
    <w:p w:rsidR="00533424" w:rsidRPr="004B159D" w:rsidRDefault="00533424" w:rsidP="0097766A">
      <w:pPr>
        <w:spacing w:after="0" w:line="240" w:lineRule="auto"/>
        <w:rPr>
          <w:szCs w:val="24"/>
        </w:rPr>
      </w:pPr>
      <w:r w:rsidRPr="004B159D">
        <w:rPr>
          <w:szCs w:val="24"/>
        </w:rPr>
        <w:t xml:space="preserve">If you have questions or need additional information, please contact </w:t>
      </w:r>
      <w:r>
        <w:rPr>
          <w:szCs w:val="24"/>
        </w:rPr>
        <w:t>Marsha</w:t>
      </w:r>
      <w:r w:rsidRPr="004B159D">
        <w:rPr>
          <w:szCs w:val="24"/>
        </w:rPr>
        <w:t xml:space="preserve"> Granderson at </w:t>
      </w:r>
      <w:hyperlink r:id="rId12" w:history="1">
        <w:r w:rsidRPr="004B159D">
          <w:rPr>
            <w:rStyle w:val="Hyperlink"/>
            <w:szCs w:val="24"/>
          </w:rPr>
          <w:t>Marsha.Granderson@doe.virginia.gov</w:t>
        </w:r>
      </w:hyperlink>
      <w:r w:rsidRPr="004B159D">
        <w:rPr>
          <w:szCs w:val="24"/>
        </w:rPr>
        <w:t xml:space="preserve"> or (804) 786-1993.</w:t>
      </w:r>
    </w:p>
    <w:p w:rsidR="00167950" w:rsidRPr="002F2AF8" w:rsidRDefault="00167950" w:rsidP="0097766A">
      <w:pPr>
        <w:spacing w:line="240" w:lineRule="auto"/>
        <w:rPr>
          <w:color w:val="000000"/>
          <w:szCs w:val="24"/>
        </w:rPr>
      </w:pPr>
    </w:p>
    <w:p w:rsidR="008C4A46" w:rsidRPr="002F2AF8" w:rsidRDefault="005E064F" w:rsidP="0097766A">
      <w:pPr>
        <w:spacing w:line="240" w:lineRule="auto"/>
        <w:rPr>
          <w:color w:val="000000"/>
          <w:szCs w:val="24"/>
        </w:rPr>
      </w:pPr>
      <w:r w:rsidRPr="002F2AF8">
        <w:rPr>
          <w:rStyle w:val="PlaceholderText"/>
          <w:color w:val="auto"/>
          <w:szCs w:val="24"/>
        </w:rPr>
        <w:t>JFL/</w:t>
      </w:r>
      <w:r w:rsidR="00533424">
        <w:rPr>
          <w:color w:val="000000"/>
          <w:szCs w:val="24"/>
        </w:rPr>
        <w:t>LS/mg</w:t>
      </w:r>
    </w:p>
    <w:p w:rsidR="007C0B3F" w:rsidRDefault="00167950" w:rsidP="0097766A">
      <w:pPr>
        <w:pStyle w:val="Heading3"/>
        <w:spacing w:line="240" w:lineRule="auto"/>
        <w:rPr>
          <w:sz w:val="24"/>
          <w:szCs w:val="24"/>
        </w:rPr>
      </w:pPr>
      <w:r w:rsidRPr="002F2AF8">
        <w:rPr>
          <w:sz w:val="24"/>
          <w:szCs w:val="24"/>
        </w:rPr>
        <w:t>Attachment</w:t>
      </w:r>
    </w:p>
    <w:p w:rsidR="00533424" w:rsidRPr="00205097" w:rsidRDefault="00220735" w:rsidP="0097766A">
      <w:pPr>
        <w:pStyle w:val="ListParagraph"/>
        <w:numPr>
          <w:ilvl w:val="0"/>
          <w:numId w:val="3"/>
        </w:numPr>
      </w:pPr>
      <w:hyperlink r:id="rId13" w:history="1">
        <w:r w:rsidR="00533424" w:rsidRPr="00237292">
          <w:rPr>
            <w:rStyle w:val="Hyperlink"/>
          </w:rPr>
          <w:t>Regional RFP Technical Assistance Workshop Registration Form</w:t>
        </w:r>
      </w:hyperlink>
      <w:r w:rsidR="00533424">
        <w:t xml:space="preserve"> (Word)</w:t>
      </w:r>
    </w:p>
    <w:p w:rsidR="00533424" w:rsidRPr="00533424" w:rsidRDefault="00533424" w:rsidP="0097766A">
      <w:pPr>
        <w:spacing w:line="240" w:lineRule="auto"/>
      </w:pPr>
    </w:p>
    <w:sectPr w:rsidR="00533424" w:rsidRPr="005334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769CE"/>
    <w:multiLevelType w:val="hybridMultilevel"/>
    <w:tmpl w:val="A1F4B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90391"/>
    <w:multiLevelType w:val="hybridMultilevel"/>
    <w:tmpl w:val="0A7EFFC2"/>
    <w:lvl w:ilvl="0" w:tplc="E4FC587A">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AA07AF"/>
    <w:multiLevelType w:val="hybridMultilevel"/>
    <w:tmpl w:val="63A64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attachedTemplate r:id="rId1"/>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E2D83"/>
    <w:rsid w:val="00167950"/>
    <w:rsid w:val="0018461A"/>
    <w:rsid w:val="00220735"/>
    <w:rsid w:val="00223595"/>
    <w:rsid w:val="00227B1E"/>
    <w:rsid w:val="00237292"/>
    <w:rsid w:val="0027145D"/>
    <w:rsid w:val="002A6350"/>
    <w:rsid w:val="002F2AF8"/>
    <w:rsid w:val="002F2DAF"/>
    <w:rsid w:val="0031177E"/>
    <w:rsid w:val="003238EA"/>
    <w:rsid w:val="00406FF4"/>
    <w:rsid w:val="00414707"/>
    <w:rsid w:val="00486586"/>
    <w:rsid w:val="004F6547"/>
    <w:rsid w:val="00533424"/>
    <w:rsid w:val="005840A5"/>
    <w:rsid w:val="005E064F"/>
    <w:rsid w:val="005E06EF"/>
    <w:rsid w:val="00625A9B"/>
    <w:rsid w:val="00653DCC"/>
    <w:rsid w:val="00687D0A"/>
    <w:rsid w:val="006F488F"/>
    <w:rsid w:val="00726AE8"/>
    <w:rsid w:val="0073236D"/>
    <w:rsid w:val="00756255"/>
    <w:rsid w:val="00793593"/>
    <w:rsid w:val="007A73B4"/>
    <w:rsid w:val="007C03F6"/>
    <w:rsid w:val="007C0B3F"/>
    <w:rsid w:val="007C3E67"/>
    <w:rsid w:val="00851C0B"/>
    <w:rsid w:val="008631A7"/>
    <w:rsid w:val="008C4A46"/>
    <w:rsid w:val="008F50F3"/>
    <w:rsid w:val="0097766A"/>
    <w:rsid w:val="00977AFA"/>
    <w:rsid w:val="009B51FA"/>
    <w:rsid w:val="009C7253"/>
    <w:rsid w:val="009E38A6"/>
    <w:rsid w:val="00A26586"/>
    <w:rsid w:val="00A30BC9"/>
    <w:rsid w:val="00A3144F"/>
    <w:rsid w:val="00A65EE6"/>
    <w:rsid w:val="00A67B2F"/>
    <w:rsid w:val="00A81436"/>
    <w:rsid w:val="00AE65FD"/>
    <w:rsid w:val="00B01E92"/>
    <w:rsid w:val="00B25322"/>
    <w:rsid w:val="00BC1A9C"/>
    <w:rsid w:val="00BE00E6"/>
    <w:rsid w:val="00C23584"/>
    <w:rsid w:val="00C25FA1"/>
    <w:rsid w:val="00CA70A4"/>
    <w:rsid w:val="00CF0233"/>
    <w:rsid w:val="00D534B4"/>
    <w:rsid w:val="00D55B56"/>
    <w:rsid w:val="00D95780"/>
    <w:rsid w:val="00DA0871"/>
    <w:rsid w:val="00DA14B1"/>
    <w:rsid w:val="00DD368F"/>
    <w:rsid w:val="00DE36A1"/>
    <w:rsid w:val="00E12E2F"/>
    <w:rsid w:val="00E4085F"/>
    <w:rsid w:val="00E75FCE"/>
    <w:rsid w:val="00E760E6"/>
    <w:rsid w:val="00EA222A"/>
    <w:rsid w:val="00EB143C"/>
    <w:rsid w:val="00ED79E7"/>
    <w:rsid w:val="00F41943"/>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table" w:styleId="TableGrid">
    <w:name w:val="Table Grid"/>
    <w:basedOn w:val="TableNormal"/>
    <w:rsid w:val="005334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sualgroup">
    <w:name w:val="visualgroup"/>
    <w:basedOn w:val="DefaultParagraphFont"/>
    <w:rsid w:val="00533424"/>
  </w:style>
  <w:style w:type="character" w:customStyle="1" w:styleId="apple-converted-space">
    <w:name w:val="apple-converted-space"/>
    <w:basedOn w:val="DefaultParagraphFont"/>
    <w:rsid w:val="00533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http://www.doe.virginia.gov/administrators/superintendents_memos/2020/015-20a.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sha.Granderson@doe.virgini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1stcclc@doe.virgini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21stcclc@doe.virginia.gov"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575C4-3DD5-4E18-82E0-DBC632E3A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Superintendent's Memo 015-20</vt:lpstr>
    </vt:vector>
  </TitlesOfParts>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015-20</dc:title>
  <dc:creator/>
  <cp:lastModifiedBy/>
  <cp:revision>1</cp:revision>
  <dcterms:created xsi:type="dcterms:W3CDTF">2020-01-22T13:37:00Z</dcterms:created>
  <dcterms:modified xsi:type="dcterms:W3CDTF">2020-01-22T13:37:00Z</dcterms:modified>
</cp:coreProperties>
</file>