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D3558C" w:rsidP="00D3558C">
      <w:pPr>
        <w:pStyle w:val="Header"/>
        <w:jc w:val="center"/>
        <w:rPr>
          <w:rFonts w:ascii="Times New Roman" w:hAnsi="Times New Roman"/>
          <w:b/>
          <w:smallCaps/>
          <w:color w:val="000000"/>
          <w:sz w:val="28"/>
          <w:szCs w:val="28"/>
          <w:u w:val="single"/>
        </w:rPr>
      </w:pPr>
      <w:bookmarkStart w:id="0" w:name="_GoBack"/>
      <w:bookmarkEnd w:id="0"/>
      <w:r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rsidR="00553EA5" w:rsidRDefault="00553EA5" w:rsidP="0071719C">
      <w:pPr>
        <w:ind w:left="0"/>
        <w:contextualSpacing/>
        <w:rPr>
          <w:color w:val="000000"/>
          <w:sz w:val="24"/>
          <w:szCs w:val="24"/>
        </w:rPr>
      </w:pPr>
    </w:p>
    <w:p w:rsidR="0071719C" w:rsidRDefault="00553EA5" w:rsidP="00DF4EDA">
      <w:pPr>
        <w:ind w:left="0"/>
        <w:contextualSpacing/>
        <w:rPr>
          <w:rFonts w:ascii="Tahoma" w:hAnsi="Tahoma" w:cs="Tahoma"/>
          <w:b/>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specific federal grant, such as  making any work (e.g., materials, tools, processes, systems) developed freely available to the public, en</w:t>
      </w:r>
      <w:r w:rsidR="00F1070B">
        <w:rPr>
          <w:color w:val="000000"/>
          <w:sz w:val="24"/>
          <w:szCs w:val="24"/>
        </w:rPr>
        <w:t xml:space="preserve">suring any websites developed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r w:rsidR="00DF4EDA" w:rsidRPr="0071719C">
        <w:rPr>
          <w:rFonts w:ascii="Tahoma" w:hAnsi="Tahoma" w:cs="Tahoma"/>
          <w:b/>
          <w:sz w:val="24"/>
          <w:szCs w:val="24"/>
        </w:rPr>
        <w:t xml:space="preserve"> </w:t>
      </w:r>
    </w:p>
    <w:p w:rsidR="00DF4EDA" w:rsidRPr="0071719C" w:rsidRDefault="00DF4EDA" w:rsidP="00DF4EDA">
      <w:pPr>
        <w:ind w:left="0"/>
        <w:contextualSpacing/>
        <w:rPr>
          <w:rFonts w:ascii="Tahoma" w:hAnsi="Tahoma" w:cs="Tahoma"/>
          <w:b/>
          <w:sz w:val="24"/>
          <w:szCs w:val="24"/>
        </w:rPr>
      </w:pP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DC4081" w:rsidRDefault="0071719C" w:rsidP="00DC4081">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DF4EDA">
        <w:rPr>
          <w:rFonts w:eastAsiaTheme="majorEastAsia"/>
          <w:b/>
          <w:bCs/>
          <w:sz w:val="24"/>
          <w:szCs w:val="24"/>
        </w:rPr>
        <w:t xml:space="preserve"> </w:t>
      </w:r>
    </w:p>
    <w:p w:rsidR="00DC4081" w:rsidRDefault="00DC4081" w:rsidP="00DC4081">
      <w:pPr>
        <w:pStyle w:val="ListParagraph"/>
        <w:contextualSpacing/>
        <w:rPr>
          <w:sz w:val="24"/>
          <w:szCs w:val="24"/>
          <w:u w:val="single"/>
        </w:rPr>
      </w:pPr>
    </w:p>
    <w:p w:rsidR="00DC4081" w:rsidRDefault="0043471C" w:rsidP="00DC4081">
      <w:pPr>
        <w:pStyle w:val="ListParagraph"/>
        <w:ind w:left="0"/>
        <w:contextualSpacing/>
        <w:rPr>
          <w:sz w:val="24"/>
          <w:szCs w:val="24"/>
          <w:u w:val="single"/>
        </w:rPr>
      </w:pPr>
      <w:r>
        <w:rPr>
          <w:sz w:val="24"/>
          <w:szCs w:val="24"/>
          <w:u w:val="single"/>
        </w:rPr>
        <w:t>SECTION II.</w:t>
      </w:r>
      <w:r>
        <w:rPr>
          <w:sz w:val="24"/>
          <w:szCs w:val="24"/>
          <w:u w:val="single"/>
        </w:rPr>
        <w:tab/>
      </w:r>
      <w:r w:rsidR="00A56A00" w:rsidRPr="0043471C">
        <w:rPr>
          <w:sz w:val="24"/>
          <w:szCs w:val="24"/>
          <w:u w:val="single"/>
        </w:rPr>
        <w:t>Grants or Cooperative Agreements which include creation of Intellectual Property that VDOE will/should Own</w:t>
      </w:r>
    </w:p>
    <w:p w:rsidR="00DC4081" w:rsidRDefault="00DC4081" w:rsidP="00DC4081">
      <w:pPr>
        <w:pStyle w:val="ListParagraph"/>
        <w:ind w:left="0"/>
        <w:contextualSpacing/>
        <w:rPr>
          <w:sz w:val="24"/>
          <w:szCs w:val="24"/>
          <w:u w:val="single"/>
        </w:rPr>
      </w:pPr>
    </w:p>
    <w:p w:rsidR="00DC4081" w:rsidRDefault="0071719C" w:rsidP="00DC4081">
      <w:pPr>
        <w:pStyle w:val="ListParagraph"/>
        <w:contextualSpacing/>
        <w:rPr>
          <w:rFonts w:eastAsiaTheme="majorEastAsia"/>
          <w:bCs/>
          <w:sz w:val="24"/>
          <w:szCs w:val="24"/>
        </w:rPr>
      </w:pPr>
      <w:r w:rsidRPr="0071719C">
        <w:rPr>
          <w:rFonts w:eastAsiaTheme="majorEastAsia"/>
          <w:bCs/>
          <w:sz w:val="24"/>
          <w:szCs w:val="24"/>
        </w:rPr>
        <w:t xml:space="preserve">If </w:t>
      </w:r>
      <w:r w:rsidRPr="00F1070B">
        <w:rPr>
          <w:rFonts w:eastAsiaTheme="majorEastAsia"/>
          <w:bCs/>
          <w:sz w:val="24"/>
          <w:szCs w:val="24"/>
        </w:rPr>
        <w:t>grant or cooperative agreement</w:t>
      </w:r>
      <w:r w:rsidRPr="0071719C">
        <w:rPr>
          <w:rFonts w:eastAsiaTheme="majorEastAsia"/>
          <w:bCs/>
          <w:sz w:val="24"/>
          <w:szCs w:val="24"/>
        </w:rPr>
        <w:t xml:space="preserve"> deliverables include creation/development of Intellectual Property that should be owned by </w:t>
      </w:r>
      <w:r w:rsidR="0037454F" w:rsidRPr="00F1070B">
        <w:rPr>
          <w:rFonts w:eastAsiaTheme="majorEastAsia"/>
          <w:bCs/>
          <w:sz w:val="24"/>
          <w:szCs w:val="24"/>
        </w:rPr>
        <w:t>the Virginia Department of Education</w:t>
      </w:r>
      <w:r w:rsidRPr="0071719C">
        <w:rPr>
          <w:rFonts w:eastAsiaTheme="majorEastAsia"/>
          <w:bCs/>
          <w:sz w:val="24"/>
          <w:szCs w:val="24"/>
        </w:rPr>
        <w:t xml:space="preserve"> (for example, the intellectual property deliverable will be used long term, and/or will be built on in the future), the following </w:t>
      </w:r>
      <w:r w:rsidR="00A56A00" w:rsidRPr="00F1070B">
        <w:rPr>
          <w:rFonts w:eastAsiaTheme="majorEastAsia"/>
          <w:bCs/>
          <w:sz w:val="24"/>
          <w:szCs w:val="24"/>
        </w:rPr>
        <w:t xml:space="preserve">special </w:t>
      </w:r>
      <w:r w:rsidRPr="0071719C">
        <w:rPr>
          <w:rFonts w:eastAsiaTheme="majorEastAsia"/>
          <w:bCs/>
          <w:sz w:val="24"/>
          <w:szCs w:val="24"/>
        </w:rPr>
        <w:t xml:space="preserve">terms </w:t>
      </w:r>
      <w:r w:rsidR="00A56A00" w:rsidRPr="00F1070B">
        <w:rPr>
          <w:rFonts w:eastAsiaTheme="majorEastAsia"/>
          <w:bCs/>
          <w:sz w:val="24"/>
          <w:szCs w:val="24"/>
        </w:rPr>
        <w:t>are applicable to</w:t>
      </w:r>
      <w:r w:rsidRPr="0071719C">
        <w:rPr>
          <w:rFonts w:eastAsiaTheme="majorEastAsia"/>
          <w:bCs/>
          <w:sz w:val="24"/>
          <w:szCs w:val="24"/>
        </w:rPr>
        <w:t xml:space="preserve"> the </w:t>
      </w:r>
      <w:r w:rsidRPr="00F1070B">
        <w:rPr>
          <w:rFonts w:eastAsiaTheme="majorEastAsia"/>
          <w:bCs/>
          <w:sz w:val="24"/>
          <w:szCs w:val="24"/>
        </w:rPr>
        <w:t>grant or cooperative agreement</w:t>
      </w:r>
      <w:r w:rsidRPr="0071719C">
        <w:rPr>
          <w:rFonts w:eastAsiaTheme="majorEastAsia"/>
          <w:bCs/>
          <w:sz w:val="24"/>
          <w:szCs w:val="24"/>
        </w:rPr>
        <w:t>:</w:t>
      </w:r>
    </w:p>
    <w:p w:rsidR="00DC4081" w:rsidRDefault="00DC4081" w:rsidP="00DC4081">
      <w:pPr>
        <w:pStyle w:val="ListParagraph"/>
        <w:contextualSpacing/>
        <w:rPr>
          <w:rFonts w:eastAsiaTheme="majorEastAsia"/>
          <w:bCs/>
          <w:sz w:val="24"/>
          <w:szCs w:val="24"/>
        </w:rPr>
      </w:pPr>
    </w:p>
    <w:p w:rsidR="00F1070B" w:rsidRDefault="0071719C" w:rsidP="00DC4081">
      <w:pPr>
        <w:pStyle w:val="ListParagraph"/>
        <w:contextualSpacing/>
        <w:rPr>
          <w:rFonts w:eastAsiaTheme="majorEastAsia"/>
          <w:b/>
          <w:bCs/>
          <w:sz w:val="24"/>
          <w:szCs w:val="24"/>
          <w:vertAlign w:val="superscript"/>
        </w:rPr>
      </w:pPr>
      <w:r w:rsidRPr="0071719C">
        <w:rPr>
          <w:rFonts w:eastAsiaTheme="majorEastAsia"/>
          <w:b/>
          <w:bCs/>
          <w:sz w:val="24"/>
          <w:szCs w:val="24"/>
          <w:u w:val="single"/>
        </w:rPr>
        <w:t>INTELLECTUAL PROPERTY</w:t>
      </w:r>
      <w:r w:rsidRPr="0071719C">
        <w:rPr>
          <w:rFonts w:eastAsiaTheme="majorEastAsia"/>
          <w:b/>
          <w:bCs/>
          <w:sz w:val="24"/>
          <w:szCs w:val="24"/>
        </w:rPr>
        <w:t xml:space="preserve">:  All copyright and patent rights to all deliverables provided to the Virginia Department of Education in the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(“the Intellectual Property”) shall become the sole property of the Virginia Department of Education.  The </w:t>
      </w:r>
      <w:r w:rsidRPr="00A56A00">
        <w:rPr>
          <w:rFonts w:eastAsiaTheme="majorEastAsia"/>
          <w:b/>
          <w:bCs/>
          <w:sz w:val="24"/>
          <w:szCs w:val="24"/>
        </w:rPr>
        <w:t>grant or cooperative agreement</w:t>
      </w:r>
      <w:r w:rsidR="0037454F">
        <w:rPr>
          <w:rFonts w:eastAsiaTheme="majorEastAsia"/>
          <w:b/>
          <w:bCs/>
          <w:sz w:val="24"/>
          <w:szCs w:val="24"/>
        </w:rPr>
        <w:t xml:space="preserve"> recipient </w:t>
      </w:r>
      <w:r w:rsidRPr="0071719C">
        <w:rPr>
          <w:rFonts w:eastAsiaTheme="majorEastAsia"/>
          <w:b/>
          <w:bCs/>
          <w:sz w:val="24"/>
          <w:szCs w:val="24"/>
        </w:rPr>
        <w:t xml:space="preserve">hereby assigns to the Commonwealth exclusively all right, title, and interest in and to all rights in the Intellectual Property that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 xml:space="preserve"> may have or obtain, without further consideration, free from any claim, lien for balance due, or rights of retention thereto on the part of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w:t>
      </w:r>
      <w:r w:rsidR="006505A0" w:rsidRPr="006505A0">
        <w:rPr>
          <w:rFonts w:eastAsiaTheme="majorEastAsia"/>
          <w:b/>
          <w:bCs/>
          <w:sz w:val="24"/>
          <w:szCs w:val="24"/>
          <w:vertAlign w:val="superscript"/>
        </w:rPr>
        <w:t>[1]</w:t>
      </w:r>
      <w:r w:rsidRPr="0071719C">
        <w:rPr>
          <w:rFonts w:eastAsiaTheme="majorEastAsia"/>
          <w:b/>
          <w:bCs/>
          <w:sz w:val="24"/>
          <w:szCs w:val="24"/>
        </w:rPr>
        <w:t xml:space="preserve">  Upon request, the </w:t>
      </w:r>
      <w:r w:rsidRPr="00A56A00">
        <w:rPr>
          <w:rFonts w:eastAsiaTheme="majorEastAsia"/>
          <w:b/>
          <w:bCs/>
          <w:sz w:val="24"/>
          <w:szCs w:val="24"/>
        </w:rPr>
        <w:t>grant or cooperative agreement</w:t>
      </w:r>
      <w:r w:rsidR="0037454F">
        <w:rPr>
          <w:rFonts w:eastAsiaTheme="majorEastAsia"/>
          <w:b/>
          <w:bCs/>
          <w:sz w:val="24"/>
          <w:szCs w:val="24"/>
        </w:rPr>
        <w:t xml:space="preserve"> </w:t>
      </w:r>
      <w:r w:rsidRPr="0071719C">
        <w:rPr>
          <w:rFonts w:eastAsiaTheme="majorEastAsia"/>
          <w:b/>
          <w:bCs/>
          <w:sz w:val="24"/>
          <w:szCs w:val="24"/>
        </w:rPr>
        <w:t>r</w:t>
      </w:r>
      <w:r w:rsidR="0037454F">
        <w:rPr>
          <w:rFonts w:eastAsiaTheme="majorEastAsia"/>
          <w:b/>
          <w:bCs/>
          <w:sz w:val="24"/>
          <w:szCs w:val="24"/>
        </w:rPr>
        <w:t>ecipient</w:t>
      </w:r>
      <w:r w:rsidRPr="0071719C">
        <w:rPr>
          <w:rFonts w:eastAsiaTheme="majorEastAsia"/>
          <w:b/>
          <w:bCs/>
          <w:sz w:val="24"/>
          <w:szCs w:val="24"/>
        </w:rPr>
        <w:t xml:space="preserve"> shall promptly provide any further acknowledgment or assignment in a tangible form satisfactory to the Virginia </w:t>
      </w:r>
      <w:r w:rsidRPr="0071719C">
        <w:rPr>
          <w:rFonts w:eastAsiaTheme="majorEastAsia"/>
          <w:b/>
          <w:bCs/>
          <w:sz w:val="24"/>
          <w:szCs w:val="24"/>
        </w:rPr>
        <w:lastRenderedPageBreak/>
        <w:t xml:space="preserve">Department of Education to evidence the Virginia Department of Education’s sole </w:t>
      </w:r>
      <w:r w:rsidR="00F1070B">
        <w:rPr>
          <w:rFonts w:eastAsiaTheme="majorEastAsia"/>
          <w:b/>
          <w:bCs/>
          <w:sz w:val="24"/>
          <w:szCs w:val="24"/>
        </w:rPr>
        <w:t>o</w:t>
      </w:r>
      <w:r w:rsidRPr="0071719C">
        <w:rPr>
          <w:rFonts w:eastAsiaTheme="majorEastAsia"/>
          <w:b/>
          <w:bCs/>
          <w:sz w:val="24"/>
          <w:szCs w:val="24"/>
        </w:rPr>
        <w:t>wnership of the Intellectual Property.</w:t>
      </w:r>
      <w:r w:rsidR="00DF4EDA">
        <w:rPr>
          <w:rFonts w:eastAsiaTheme="majorEastAsia"/>
          <w:b/>
          <w:bCs/>
          <w:sz w:val="24"/>
          <w:szCs w:val="24"/>
          <w:vertAlign w:val="superscript"/>
        </w:rPr>
        <w:t xml:space="preserve"> </w:t>
      </w:r>
    </w:p>
    <w:p w:rsidR="00DF4EDA" w:rsidRDefault="00DF4EDA" w:rsidP="00F1070B">
      <w:pPr>
        <w:pStyle w:val="ListParagraph"/>
        <w:keepNext/>
        <w:keepLines/>
        <w:spacing w:before="480"/>
        <w:contextualSpacing/>
        <w:outlineLvl w:val="0"/>
        <w:rPr>
          <w:rFonts w:eastAsiaTheme="majorEastAsia"/>
          <w:b/>
          <w:bCs/>
          <w:sz w:val="24"/>
          <w:szCs w:val="24"/>
          <w:vertAlign w:val="superscript"/>
        </w:rPr>
      </w:pPr>
    </w:p>
    <w:p w:rsidR="00B15B0A" w:rsidRPr="00B15B0A" w:rsidRDefault="00B15B0A" w:rsidP="0043471C">
      <w:pPr>
        <w:pStyle w:val="ListParagraph"/>
        <w:keepNext/>
        <w:keepLines/>
        <w:spacing w:before="480"/>
        <w:ind w:left="1440" w:right="1440"/>
        <w:contextualSpacing/>
        <w:outlineLvl w:val="0"/>
        <w:rPr>
          <w:rFonts w:eastAsiaTheme="majorEastAsia"/>
          <w:bCs/>
          <w:sz w:val="24"/>
          <w:szCs w:val="24"/>
        </w:rPr>
      </w:pPr>
      <w:r w:rsidRPr="00B15B0A">
        <w:rPr>
          <w:rFonts w:eastAsiaTheme="majorEastAsia"/>
          <w:b/>
          <w:bCs/>
          <w:sz w:val="24"/>
          <w:szCs w:val="24"/>
          <w:vertAlign w:val="superscript"/>
        </w:rPr>
        <w:t>[1]</w:t>
      </w:r>
      <w:r w:rsidRPr="00B15B0A">
        <w:rPr>
          <w:rFonts w:eastAsiaTheme="majorEastAsia"/>
          <w:bCs/>
          <w:sz w:val="24"/>
          <w:szCs w:val="24"/>
        </w:rPr>
        <w:t xml:space="preserve"> If grant or cooperative agreement recipient </w:t>
      </w:r>
      <w:r>
        <w:rPr>
          <w:rFonts w:eastAsiaTheme="majorEastAsia"/>
          <w:bCs/>
          <w:sz w:val="24"/>
          <w:szCs w:val="24"/>
        </w:rPr>
        <w:t>is a</w:t>
      </w:r>
      <w:r w:rsidRPr="00B15B0A">
        <w:rPr>
          <w:rFonts w:eastAsiaTheme="majorEastAsia"/>
          <w:bCs/>
          <w:sz w:val="24"/>
          <w:szCs w:val="24"/>
        </w:rPr>
        <w:t xml:space="preserve"> </w:t>
      </w:r>
      <w:r>
        <w:rPr>
          <w:rFonts w:eastAsiaTheme="majorEastAsia"/>
          <w:bCs/>
          <w:sz w:val="24"/>
          <w:szCs w:val="24"/>
        </w:rPr>
        <w:t>private entity (including non-profit</w:t>
      </w:r>
      <w:r w:rsidRPr="00B15B0A">
        <w:rPr>
          <w:rFonts w:eastAsiaTheme="majorEastAsia"/>
          <w:bCs/>
          <w:sz w:val="24"/>
          <w:szCs w:val="24"/>
        </w:rPr>
        <w:t xml:space="preserve">), the following special term </w:t>
      </w:r>
      <w:r>
        <w:rPr>
          <w:rFonts w:eastAsiaTheme="majorEastAsia"/>
          <w:bCs/>
          <w:sz w:val="24"/>
          <w:szCs w:val="24"/>
        </w:rPr>
        <w:t>must be inserted</w:t>
      </w:r>
      <w:r w:rsidR="0043471C">
        <w:rPr>
          <w:rFonts w:eastAsiaTheme="majorEastAsia"/>
          <w:bCs/>
          <w:sz w:val="24"/>
          <w:szCs w:val="24"/>
        </w:rPr>
        <w:t xml:space="preserve"> at the footnote location in the above paragraph</w:t>
      </w:r>
      <w:r w:rsidRPr="00B15B0A">
        <w:rPr>
          <w:rFonts w:eastAsiaTheme="majorEastAsia"/>
          <w:bCs/>
          <w:sz w:val="24"/>
          <w:szCs w:val="24"/>
        </w:rPr>
        <w:t>:</w:t>
      </w:r>
    </w:p>
    <w:p w:rsidR="00F1070B" w:rsidRPr="0043471C" w:rsidRDefault="00F1070B" w:rsidP="0043471C">
      <w:pPr>
        <w:ind w:left="1440" w:right="1440"/>
        <w:contextualSpacing/>
        <w:jc w:val="both"/>
        <w:rPr>
          <w:rFonts w:eastAsiaTheme="majorEastAsia"/>
          <w:b/>
          <w:bCs/>
          <w:sz w:val="16"/>
          <w:szCs w:val="24"/>
        </w:rPr>
      </w:pPr>
    </w:p>
    <w:p w:rsidR="00B15B0A" w:rsidRPr="0071719C" w:rsidRDefault="00B15B0A" w:rsidP="0043471C">
      <w:pPr>
        <w:ind w:left="1440" w:right="1440"/>
        <w:contextualSpacing/>
        <w:jc w:val="both"/>
        <w:rPr>
          <w:rFonts w:eastAsiaTheme="majorEastAsia"/>
          <w:b/>
          <w:bCs/>
          <w:sz w:val="24"/>
          <w:szCs w:val="24"/>
        </w:rPr>
      </w:pPr>
      <w:r w:rsidRPr="0071719C">
        <w:rPr>
          <w:rFonts w:eastAsiaTheme="majorEastAsia"/>
          <w:b/>
          <w:bCs/>
          <w:sz w:val="24"/>
          <w:szCs w:val="24"/>
        </w:rPr>
        <w:t xml:space="preserve">The parties do not intend for and the </w:t>
      </w:r>
      <w:r w:rsidRPr="00B15B0A">
        <w:rPr>
          <w:rFonts w:eastAsiaTheme="majorEastAsia"/>
          <w:b/>
          <w:bCs/>
          <w:sz w:val="24"/>
          <w:szCs w:val="24"/>
        </w:rPr>
        <w:t>grant or cooperative agreement recipient</w:t>
      </w:r>
      <w:r w:rsidRPr="0071719C">
        <w:rPr>
          <w:rFonts w:eastAsiaTheme="majorEastAsia"/>
          <w:b/>
          <w:bCs/>
          <w:sz w:val="24"/>
          <w:szCs w:val="24"/>
        </w:rPr>
        <w:t xml:space="preserve"> shall not be deemed to be a joint author or invento</w:t>
      </w:r>
      <w:r w:rsidRPr="00B15B0A">
        <w:rPr>
          <w:rFonts w:eastAsiaTheme="majorEastAsia"/>
          <w:b/>
          <w:bCs/>
          <w:sz w:val="24"/>
          <w:szCs w:val="24"/>
        </w:rPr>
        <w:t>r of the Intellectual Property.</w:t>
      </w:r>
    </w:p>
    <w:p w:rsidR="006505A0" w:rsidRPr="0071719C" w:rsidRDefault="006505A0" w:rsidP="00A56A00">
      <w:pPr>
        <w:keepNext/>
        <w:keepLines/>
        <w:spacing w:before="480"/>
        <w:ind w:left="720"/>
        <w:contextualSpacing/>
        <w:outlineLvl w:val="0"/>
        <w:rPr>
          <w:rFonts w:eastAsiaTheme="majorEastAsia"/>
          <w:b/>
          <w:bCs/>
          <w:sz w:val="24"/>
          <w:szCs w:val="24"/>
        </w:rPr>
      </w:pPr>
    </w:p>
    <w:p w:rsidR="009A6B28" w:rsidRDefault="0037454F" w:rsidP="00A56A00">
      <w:pPr>
        <w:keepNext/>
        <w:keepLines/>
        <w:spacing w:before="480"/>
        <w:ind w:left="720"/>
        <w:contextualSpacing/>
        <w:outlineLvl w:val="0"/>
        <w:rPr>
          <w:rFonts w:eastAsiaTheme="majorEastAsia"/>
          <w:b/>
          <w:bCs/>
          <w:sz w:val="24"/>
          <w:szCs w:val="24"/>
        </w:rPr>
      </w:pPr>
      <w:r>
        <w:rPr>
          <w:rFonts w:eastAsiaTheme="majorEastAsia"/>
          <w:b/>
          <w:bCs/>
          <w:sz w:val="24"/>
          <w:szCs w:val="24"/>
          <w:u w:val="single"/>
        </w:rPr>
        <w:t>SUB</w:t>
      </w:r>
      <w:r w:rsidR="0071719C" w:rsidRPr="00A56A00">
        <w:rPr>
          <w:rFonts w:eastAsiaTheme="majorEastAsia"/>
          <w:b/>
          <w:bCs/>
          <w:sz w:val="24"/>
          <w:szCs w:val="24"/>
          <w:u w:val="single"/>
        </w:rPr>
        <w:t xml:space="preserve">GRANT OR </w:t>
      </w:r>
      <w:r>
        <w:rPr>
          <w:rFonts w:eastAsiaTheme="majorEastAsia"/>
          <w:b/>
          <w:bCs/>
          <w:sz w:val="24"/>
          <w:szCs w:val="24"/>
          <w:u w:val="single"/>
        </w:rPr>
        <w:t>SUBCONTRAC</w:t>
      </w:r>
      <w:r w:rsidR="0071719C" w:rsidRPr="00A56A00">
        <w:rPr>
          <w:rFonts w:eastAsiaTheme="majorEastAsia"/>
          <w:b/>
          <w:bCs/>
          <w:sz w:val="24"/>
          <w:szCs w:val="24"/>
          <w:u w:val="single"/>
        </w:rPr>
        <w:t>T</w:t>
      </w:r>
      <w:r w:rsidR="0071719C" w:rsidRPr="0071719C">
        <w:rPr>
          <w:rFonts w:eastAsiaTheme="majorEastAsia"/>
          <w:b/>
          <w:bCs/>
          <w:sz w:val="24"/>
          <w:szCs w:val="24"/>
          <w:u w:val="single"/>
        </w:rPr>
        <w:t>S</w:t>
      </w:r>
      <w:r w:rsidR="0071719C" w:rsidRPr="0071719C">
        <w:rPr>
          <w:rFonts w:eastAsiaTheme="majorEastAsia"/>
          <w:b/>
          <w:bCs/>
          <w:sz w:val="24"/>
          <w:szCs w:val="24"/>
        </w:rPr>
        <w:t xml:space="preserve">:  No portion of the work shall be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ed</w:t>
      </w:r>
      <w:proofErr w:type="spellEnd"/>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ed without prior written consent of the Virginia Department of Education.  In the event that the </w:t>
      </w:r>
      <w:r>
        <w:rPr>
          <w:rFonts w:eastAsiaTheme="majorEastAsia"/>
          <w:b/>
          <w:bCs/>
          <w:sz w:val="24"/>
          <w:szCs w:val="24"/>
        </w:rPr>
        <w:t xml:space="preserve">grant or cooperative agreement recipient </w:t>
      </w:r>
      <w:proofErr w:type="spellStart"/>
      <w:r>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s</w:t>
      </w:r>
      <w:proofErr w:type="spellEnd"/>
      <w:r w:rsidR="0071719C" w:rsidRPr="00A56A00">
        <w:rPr>
          <w:rFonts w:eastAsiaTheme="majorEastAsia"/>
          <w:b/>
          <w:bCs/>
          <w:sz w:val="24"/>
          <w:szCs w:val="24"/>
        </w:rPr>
        <w:t xml:space="preserve"> or </w:t>
      </w:r>
      <w:r>
        <w:rPr>
          <w:rFonts w:eastAsiaTheme="majorEastAsia"/>
          <w:b/>
          <w:bCs/>
          <w:sz w:val="24"/>
          <w:szCs w:val="24"/>
        </w:rPr>
        <w:t>contracts</w:t>
      </w:r>
      <w:r w:rsidR="0071719C" w:rsidRPr="0071719C">
        <w:rPr>
          <w:rFonts w:eastAsiaTheme="majorEastAsia"/>
          <w:b/>
          <w:bCs/>
          <w:sz w:val="24"/>
          <w:szCs w:val="24"/>
        </w:rPr>
        <w:t xml:space="preserve"> any part of the work specified herein, the </w:t>
      </w:r>
      <w:r w:rsidR="0071719C" w:rsidRPr="00A56A00">
        <w:rPr>
          <w:rFonts w:eastAsiaTheme="majorEastAsia"/>
          <w:b/>
          <w:bCs/>
          <w:sz w:val="24"/>
          <w:szCs w:val="24"/>
        </w:rPr>
        <w:t>grant or cooperative agreement</w:t>
      </w:r>
      <w:r>
        <w:rPr>
          <w:rFonts w:eastAsiaTheme="majorEastAsia"/>
          <w:b/>
          <w:bCs/>
          <w:sz w:val="24"/>
          <w:szCs w:val="24"/>
        </w:rPr>
        <w:t xml:space="preserve"> </w:t>
      </w:r>
      <w:r w:rsidR="0071719C" w:rsidRPr="0071719C">
        <w:rPr>
          <w:rFonts w:eastAsiaTheme="majorEastAsia"/>
          <w:b/>
          <w:bCs/>
          <w:sz w:val="24"/>
          <w:szCs w:val="24"/>
        </w:rPr>
        <w:t>r</w:t>
      </w:r>
      <w:r>
        <w:rPr>
          <w:rFonts w:eastAsiaTheme="majorEastAsia"/>
          <w:b/>
          <w:bCs/>
          <w:sz w:val="24"/>
          <w:szCs w:val="24"/>
        </w:rPr>
        <w:t>ecipient</w:t>
      </w:r>
      <w:r w:rsidR="0071719C" w:rsidRPr="0071719C">
        <w:rPr>
          <w:rFonts w:eastAsiaTheme="majorEastAsia"/>
          <w:b/>
          <w:bCs/>
          <w:sz w:val="24"/>
          <w:szCs w:val="24"/>
        </w:rPr>
        <w:t xml:space="preserve"> shall include the term above in the </w:t>
      </w:r>
      <w:proofErr w:type="spellStart"/>
      <w:r>
        <w:rPr>
          <w:rFonts w:eastAsiaTheme="majorEastAsia"/>
          <w:b/>
          <w:bCs/>
          <w:sz w:val="24"/>
          <w:szCs w:val="24"/>
        </w:rPr>
        <w:t>sub</w:t>
      </w:r>
      <w:r w:rsidR="0071719C" w:rsidRPr="00A56A00">
        <w:rPr>
          <w:rFonts w:eastAsiaTheme="majorEastAsia"/>
          <w:b/>
          <w:bCs/>
          <w:sz w:val="24"/>
          <w:szCs w:val="24"/>
        </w:rPr>
        <w:t>grant</w:t>
      </w:r>
      <w:proofErr w:type="spellEnd"/>
      <w:r>
        <w:rPr>
          <w:rFonts w:eastAsiaTheme="majorEastAsia"/>
          <w:b/>
          <w:bCs/>
          <w:sz w:val="24"/>
          <w:szCs w:val="24"/>
        </w:rPr>
        <w:t>(s)</w:t>
      </w:r>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(s) with the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9A6B28">
        <w:rPr>
          <w:rFonts w:eastAsiaTheme="majorEastAsia"/>
          <w:b/>
          <w:bCs/>
          <w:sz w:val="24"/>
          <w:szCs w:val="24"/>
        </w:rPr>
        <w:t>(s)</w:t>
      </w:r>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shall remain fully liable and responsible for the work to be done by its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and shall assure compliance with all requirements of the </w:t>
      </w:r>
      <w:r w:rsidR="0071719C" w:rsidRPr="00A56A00">
        <w:rPr>
          <w:rFonts w:eastAsiaTheme="majorEastAsia"/>
          <w:b/>
          <w:bCs/>
          <w:sz w:val="24"/>
          <w:szCs w:val="24"/>
        </w:rPr>
        <w:t xml:space="preserve">grant or </w:t>
      </w:r>
      <w:r w:rsidR="009A6B28">
        <w:rPr>
          <w:rFonts w:eastAsiaTheme="majorEastAsia"/>
          <w:b/>
          <w:bCs/>
          <w:sz w:val="24"/>
          <w:szCs w:val="24"/>
        </w:rPr>
        <w:t>cooperative agreement</w:t>
      </w:r>
      <w:r w:rsidR="0071719C" w:rsidRPr="0071719C">
        <w:rPr>
          <w:rFonts w:eastAsiaTheme="majorEastAsia"/>
          <w:b/>
          <w:bCs/>
          <w:sz w:val="24"/>
          <w:szCs w:val="24"/>
        </w:rPr>
        <w:t>.</w:t>
      </w:r>
    </w:p>
    <w:p w:rsidR="00DC4081" w:rsidRDefault="00DC4081" w:rsidP="00DC4081">
      <w:pPr>
        <w:ind w:left="0"/>
        <w:rPr>
          <w:rFonts w:eastAsiaTheme="majorEastAsia"/>
          <w:bCs/>
          <w:sz w:val="24"/>
          <w:szCs w:val="24"/>
        </w:rPr>
      </w:pPr>
    </w:p>
    <w:p w:rsidR="0071719C" w:rsidRPr="004409D6" w:rsidRDefault="000E6871" w:rsidP="00DC4081">
      <w:pPr>
        <w:ind w:left="720"/>
        <w:rPr>
          <w:rFonts w:eastAsiaTheme="majorEastAsia"/>
          <w:bCs/>
          <w:sz w:val="24"/>
          <w:szCs w:val="24"/>
        </w:rPr>
      </w:pPr>
      <w:r w:rsidRPr="004409D6">
        <w:rPr>
          <w:rFonts w:eastAsiaTheme="majorEastAsia"/>
          <w:bCs/>
          <w:sz w:val="24"/>
          <w:szCs w:val="24"/>
        </w:rPr>
        <w:t>I</w:t>
      </w:r>
      <w:r w:rsidR="0071719C" w:rsidRPr="004409D6">
        <w:rPr>
          <w:rFonts w:eastAsiaTheme="majorEastAsia"/>
          <w:bCs/>
          <w:sz w:val="24"/>
          <w:szCs w:val="24"/>
        </w:rPr>
        <w:t>f grant or cooperative agreement</w:t>
      </w:r>
      <w:r w:rsidR="007108D6" w:rsidRPr="004409D6">
        <w:rPr>
          <w:rFonts w:eastAsiaTheme="majorEastAsia"/>
          <w:bCs/>
          <w:sz w:val="24"/>
          <w:szCs w:val="24"/>
        </w:rPr>
        <w:t xml:space="preserve"> recipients</w:t>
      </w:r>
      <w:r w:rsidR="0071719C" w:rsidRPr="004409D6">
        <w:rPr>
          <w:rFonts w:eastAsiaTheme="majorEastAsia"/>
          <w:bCs/>
          <w:sz w:val="24"/>
          <w:szCs w:val="24"/>
        </w:rPr>
        <w:t xml:space="preserve"> are </w:t>
      </w:r>
      <w:r w:rsidR="0071719C" w:rsidRPr="004409D6">
        <w:rPr>
          <w:rFonts w:eastAsiaTheme="majorEastAsia"/>
          <w:bCs/>
          <w:sz w:val="24"/>
          <w:szCs w:val="24"/>
          <w:u w:val="single"/>
        </w:rPr>
        <w:t>public (government) entities</w:t>
      </w:r>
      <w:r w:rsidR="0071719C" w:rsidRPr="004409D6">
        <w:rPr>
          <w:rFonts w:eastAsiaTheme="majorEastAsia"/>
          <w:bCs/>
          <w:sz w:val="24"/>
          <w:szCs w:val="24"/>
        </w:rPr>
        <w:t xml:space="preserve">, the following </w:t>
      </w:r>
      <w:r w:rsidR="007108D6" w:rsidRPr="004409D6">
        <w:rPr>
          <w:rFonts w:eastAsiaTheme="majorEastAsia"/>
          <w:bCs/>
          <w:sz w:val="24"/>
          <w:szCs w:val="24"/>
        </w:rPr>
        <w:t xml:space="preserve">special </w:t>
      </w:r>
      <w:r w:rsidR="0071719C" w:rsidRPr="004409D6">
        <w:rPr>
          <w:rFonts w:eastAsiaTheme="majorEastAsia"/>
          <w:bCs/>
          <w:sz w:val="24"/>
          <w:szCs w:val="24"/>
        </w:rPr>
        <w:t xml:space="preserve">term </w:t>
      </w:r>
      <w:r w:rsidR="007108D6" w:rsidRPr="004409D6">
        <w:rPr>
          <w:rFonts w:eastAsiaTheme="majorEastAsia"/>
          <w:bCs/>
          <w:sz w:val="24"/>
          <w:szCs w:val="24"/>
        </w:rPr>
        <w:t>also applies</w:t>
      </w:r>
      <w:r w:rsidR="0043471C" w:rsidRPr="004409D6">
        <w:rPr>
          <w:rFonts w:eastAsiaTheme="majorEastAsia"/>
          <w:bCs/>
          <w:sz w:val="24"/>
          <w:szCs w:val="24"/>
        </w:rPr>
        <w:t xml:space="preserve"> and must be included</w:t>
      </w:r>
      <w:r w:rsidR="0071719C" w:rsidRPr="004409D6">
        <w:rPr>
          <w:rFonts w:eastAsiaTheme="majorEastAsia"/>
          <w:bCs/>
          <w:sz w:val="24"/>
          <w:szCs w:val="24"/>
        </w:rPr>
        <w:t>:</w:t>
      </w:r>
    </w:p>
    <w:p w:rsidR="0071719C" w:rsidRPr="0071719C" w:rsidRDefault="0071719C" w:rsidP="0071719C">
      <w:pPr>
        <w:ind w:left="0"/>
        <w:contextualSpacing/>
        <w:rPr>
          <w:sz w:val="24"/>
          <w:szCs w:val="24"/>
        </w:rPr>
      </w:pPr>
    </w:p>
    <w:p w:rsidR="0071719C" w:rsidRPr="00CF77B6" w:rsidRDefault="0071719C" w:rsidP="00CF77B6">
      <w:pPr>
        <w:keepNext/>
        <w:keepLines/>
        <w:spacing w:before="480"/>
        <w:ind w:left="720"/>
        <w:contextualSpacing/>
        <w:outlineLvl w:val="0"/>
        <w:rPr>
          <w:rFonts w:eastAsiaTheme="majorEastAsia"/>
          <w:b/>
          <w:bCs/>
          <w:sz w:val="24"/>
          <w:szCs w:val="24"/>
        </w:rPr>
      </w:pPr>
      <w:r w:rsidRPr="00CF77B6">
        <w:rPr>
          <w:rFonts w:eastAsiaTheme="majorEastAsia"/>
          <w:b/>
          <w:bCs/>
          <w:sz w:val="24"/>
          <w:szCs w:val="24"/>
          <w:u w:val="single"/>
        </w:rPr>
        <w:t>GRANT OR COOPERATIVE AGREEMENT</w:t>
      </w:r>
      <w:r w:rsidRPr="0071719C">
        <w:rPr>
          <w:rFonts w:eastAsiaTheme="majorEastAsia"/>
          <w:b/>
          <w:bCs/>
          <w:sz w:val="24"/>
          <w:szCs w:val="24"/>
          <w:u w:val="single"/>
        </w:rPr>
        <w:t xml:space="preserve"> </w:t>
      </w:r>
      <w:r w:rsidR="00CF77B6">
        <w:rPr>
          <w:rFonts w:eastAsiaTheme="majorEastAsia"/>
          <w:b/>
          <w:bCs/>
          <w:sz w:val="24"/>
          <w:szCs w:val="24"/>
          <w:u w:val="single"/>
        </w:rPr>
        <w:t xml:space="preserve">RECIPIENT </w:t>
      </w:r>
      <w:r w:rsidRPr="0071719C">
        <w:rPr>
          <w:rFonts w:eastAsiaTheme="majorEastAsia"/>
          <w:b/>
          <w:bCs/>
          <w:sz w:val="24"/>
          <w:szCs w:val="24"/>
          <w:u w:val="single"/>
        </w:rPr>
        <w:t>RIGHTS TO USE MATERIALS</w:t>
      </w:r>
      <w:r w:rsidRPr="0071719C">
        <w:rPr>
          <w:rFonts w:eastAsiaTheme="majorEastAsia"/>
          <w:b/>
          <w:bCs/>
          <w:sz w:val="24"/>
          <w:szCs w:val="24"/>
        </w:rPr>
        <w:t xml:space="preserve">:  The </w:t>
      </w:r>
      <w:r w:rsidRPr="00CF77B6">
        <w:rPr>
          <w:rFonts w:eastAsiaTheme="majorEastAsia"/>
          <w:b/>
          <w:bCs/>
          <w:sz w:val="24"/>
          <w:szCs w:val="24"/>
        </w:rPr>
        <w:t>grant or cooperative agreement</w:t>
      </w:r>
      <w:r w:rsidR="00CF77B6" w:rsidRPr="00CF77B6">
        <w:rPr>
          <w:rFonts w:eastAsiaTheme="majorEastAsia"/>
          <w:b/>
          <w:bCs/>
          <w:sz w:val="24"/>
          <w:szCs w:val="24"/>
        </w:rPr>
        <w:t xml:space="preserve"> </w:t>
      </w:r>
      <w:r w:rsidRPr="0071719C">
        <w:rPr>
          <w:rFonts w:eastAsiaTheme="majorEastAsia"/>
          <w:b/>
          <w:bCs/>
          <w:sz w:val="24"/>
          <w:szCs w:val="24"/>
        </w:rPr>
        <w:t>r</w:t>
      </w:r>
      <w:r w:rsidR="00CF77B6" w:rsidRPr="00CF77B6">
        <w:rPr>
          <w:rFonts w:eastAsiaTheme="majorEastAsia"/>
          <w:b/>
          <w:bCs/>
          <w:sz w:val="24"/>
          <w:szCs w:val="24"/>
        </w:rPr>
        <w:t>ecipient</w:t>
      </w:r>
      <w:r w:rsidRPr="0071719C">
        <w:rPr>
          <w:rFonts w:eastAsiaTheme="majorEastAsia"/>
          <w:b/>
          <w:bCs/>
          <w:sz w:val="24"/>
          <w:szCs w:val="24"/>
        </w:rPr>
        <w:t xml:space="preserve"> is hereby granted a royalty-free, non-exclusive and irrevocable license in perpetuity to reproduce, publish or otherwise use the Intellectual Property for noncommercial purposes.  Such rights shall include, but are not limited to the right to claim credit as the original author of the Intellectual Property, the right to use and authorize others to use the Intellectual Property in research and for preparation of teaching materials for noncommercial use, and the right to transfer to publishers the copyrights in scholarly publications and textbooks that include an insubstantial portion of the Intellectual Property.  The </w:t>
      </w:r>
      <w:r w:rsidRPr="00CF77B6">
        <w:rPr>
          <w:rFonts w:eastAsiaTheme="majorEastAsia"/>
          <w:b/>
          <w:bCs/>
          <w:sz w:val="24"/>
          <w:szCs w:val="24"/>
        </w:rPr>
        <w:t xml:space="preserve">grant or cooperative </w:t>
      </w:r>
      <w:r w:rsidR="00CF77B6" w:rsidRPr="00CF77B6">
        <w:rPr>
          <w:rFonts w:eastAsiaTheme="majorEastAsia"/>
          <w:b/>
          <w:bCs/>
          <w:sz w:val="24"/>
          <w:szCs w:val="24"/>
        </w:rPr>
        <w:t>agreement recipient</w:t>
      </w:r>
      <w:r w:rsidRPr="0071719C">
        <w:rPr>
          <w:rFonts w:eastAsiaTheme="majorEastAsia"/>
          <w:b/>
          <w:bCs/>
          <w:sz w:val="24"/>
          <w:szCs w:val="24"/>
        </w:rPr>
        <w:t xml:space="preserve"> may seek further rights to use the Intellectual Property by submitting a written request for authorization to the Superintendent of Public Instruction, which authorization shall not reasonably be withheld. </w:t>
      </w:r>
    </w:p>
    <w:p w:rsidR="00CF77B6" w:rsidRPr="004409D6" w:rsidRDefault="00CF77B6" w:rsidP="004409D6">
      <w:pPr>
        <w:pStyle w:val="ListParagraph"/>
        <w:keepNext/>
        <w:keepLines/>
        <w:numPr>
          <w:ilvl w:val="0"/>
          <w:numId w:val="31"/>
        </w:numPr>
        <w:spacing w:before="480"/>
        <w:contextualSpacing/>
        <w:outlineLvl w:val="0"/>
        <w:rPr>
          <w:rFonts w:eastAsiaTheme="majorEastAsia"/>
          <w:bCs/>
          <w:sz w:val="24"/>
          <w:szCs w:val="24"/>
        </w:rPr>
      </w:pPr>
      <w:r w:rsidRPr="004409D6">
        <w:rPr>
          <w:rFonts w:eastAsiaTheme="majorEastAsia"/>
          <w:bCs/>
          <w:sz w:val="24"/>
          <w:szCs w:val="24"/>
        </w:rPr>
        <w:t xml:space="preserve">If grant or cooperative agreement recipients are </w:t>
      </w:r>
      <w:r w:rsidRPr="004409D6">
        <w:rPr>
          <w:rFonts w:eastAsiaTheme="majorEastAsia"/>
          <w:bCs/>
          <w:sz w:val="24"/>
          <w:szCs w:val="24"/>
          <w:u w:val="single"/>
        </w:rPr>
        <w:t>private entities (including non-profits)</w:t>
      </w:r>
      <w:r w:rsidRPr="004409D6">
        <w:rPr>
          <w:rFonts w:eastAsiaTheme="majorEastAsia"/>
          <w:bCs/>
          <w:sz w:val="24"/>
          <w:szCs w:val="24"/>
        </w:rPr>
        <w:t>, the following special term also applies</w:t>
      </w:r>
      <w:r w:rsidR="000F0DD7" w:rsidRPr="004409D6">
        <w:rPr>
          <w:rFonts w:eastAsiaTheme="majorEastAsia"/>
          <w:bCs/>
          <w:sz w:val="24"/>
          <w:szCs w:val="24"/>
        </w:rPr>
        <w:t xml:space="preserve"> and must be included</w:t>
      </w:r>
      <w:r w:rsidRPr="004409D6">
        <w:rPr>
          <w:rFonts w:eastAsiaTheme="majorEastAsia"/>
          <w:bCs/>
          <w:sz w:val="24"/>
          <w:szCs w:val="24"/>
        </w:rPr>
        <w:t>:</w:t>
      </w:r>
    </w:p>
    <w:p w:rsidR="006505A0" w:rsidRPr="00CF77B6" w:rsidRDefault="006505A0" w:rsidP="006505A0">
      <w:pPr>
        <w:pStyle w:val="ListParagraph"/>
        <w:keepNext/>
        <w:keepLines/>
        <w:spacing w:before="480"/>
        <w:ind w:left="1140"/>
        <w:contextualSpacing/>
        <w:outlineLvl w:val="0"/>
        <w:rPr>
          <w:rFonts w:eastAsiaTheme="majorEastAsia"/>
          <w:bCs/>
          <w:sz w:val="24"/>
          <w:szCs w:val="24"/>
        </w:rPr>
      </w:pPr>
    </w:p>
    <w:p w:rsidR="0071719C" w:rsidRPr="0071719C" w:rsidRDefault="0071719C" w:rsidP="006505A0">
      <w:pPr>
        <w:contextualSpacing/>
        <w:jc w:val="both"/>
        <w:rPr>
          <w:b/>
          <w:sz w:val="24"/>
          <w:szCs w:val="24"/>
        </w:rPr>
      </w:pPr>
      <w:r w:rsidRPr="0071719C">
        <w:rPr>
          <w:b/>
          <w:sz w:val="24"/>
          <w:szCs w:val="24"/>
        </w:rPr>
        <w:t xml:space="preserve">The parties do not intend for and the </w:t>
      </w:r>
      <w:r>
        <w:rPr>
          <w:b/>
          <w:sz w:val="24"/>
          <w:szCs w:val="24"/>
        </w:rPr>
        <w:t>grant or cooperative agreement</w:t>
      </w:r>
      <w:r w:rsidR="00CF77B6">
        <w:rPr>
          <w:b/>
          <w:sz w:val="24"/>
          <w:szCs w:val="24"/>
        </w:rPr>
        <w:t xml:space="preserve"> recipient</w:t>
      </w:r>
      <w:r w:rsidRPr="0071719C">
        <w:rPr>
          <w:b/>
          <w:sz w:val="24"/>
          <w:szCs w:val="24"/>
        </w:rPr>
        <w:t xml:space="preserve"> shall not be deemed to be a joint author or invento</w:t>
      </w:r>
      <w:r w:rsidR="00B15B0A">
        <w:rPr>
          <w:b/>
          <w:sz w:val="24"/>
          <w:szCs w:val="24"/>
        </w:rPr>
        <w:t>r of the Intellectual Property.</w:t>
      </w:r>
    </w:p>
    <w:p w:rsidR="006609A6" w:rsidRPr="000F0DD7" w:rsidRDefault="000F0DD7" w:rsidP="000F0DD7">
      <w:pPr>
        <w:keepNext/>
        <w:keepLines/>
        <w:spacing w:before="480"/>
        <w:ind w:left="0"/>
        <w:contextualSpacing/>
        <w:outlineLvl w:val="0"/>
        <w:rPr>
          <w:rFonts w:eastAsiaTheme="majorEastAsia"/>
          <w:bCs/>
          <w:sz w:val="24"/>
          <w:szCs w:val="24"/>
        </w:rPr>
      </w:pPr>
      <w:r>
        <w:rPr>
          <w:sz w:val="24"/>
          <w:szCs w:val="24"/>
          <w:u w:val="single"/>
        </w:rPr>
        <w:lastRenderedPageBreak/>
        <w:t>SECTION III.</w:t>
      </w:r>
      <w:r>
        <w:rPr>
          <w:sz w:val="24"/>
          <w:szCs w:val="24"/>
          <w:u w:val="single"/>
        </w:rPr>
        <w:tab/>
      </w:r>
      <w:r w:rsidR="006609A6" w:rsidRPr="000F0DD7">
        <w:rPr>
          <w:sz w:val="24"/>
          <w:szCs w:val="24"/>
          <w:u w:val="single"/>
        </w:rPr>
        <w:t>Grants or Cooperative Agreements</w:t>
      </w:r>
      <w:r w:rsidR="006609A6" w:rsidRPr="000F0DD7">
        <w:rPr>
          <w:sz w:val="24"/>
          <w:szCs w:val="24"/>
          <w:u w:val="single"/>
          <w:shd w:val="clear" w:color="auto" w:fill="FFFFFF"/>
        </w:rPr>
        <w:t xml:space="preserve"> which include creation of Intellectual Property that VDOE will not/does not need to Own</w:t>
      </w:r>
    </w:p>
    <w:p w:rsidR="006609A6" w:rsidRDefault="0071719C" w:rsidP="006609A6">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Pr>
          <w:rFonts w:eastAsiaTheme="majorEastAsia"/>
          <w:bCs/>
          <w:sz w:val="24"/>
          <w:szCs w:val="24"/>
        </w:rPr>
        <w:t>grant or cooperative agreement</w:t>
      </w:r>
      <w:r w:rsidRPr="0071719C">
        <w:rPr>
          <w:rFonts w:eastAsiaTheme="majorEastAsia"/>
          <w:bCs/>
          <w:sz w:val="24"/>
          <w:szCs w:val="24"/>
        </w:rPr>
        <w:t xml:space="preserve"> deliverables include intellectual property that </w:t>
      </w:r>
      <w:r w:rsidR="006609A6">
        <w:rPr>
          <w:rFonts w:eastAsiaTheme="majorEastAsia"/>
          <w:bCs/>
          <w:sz w:val="24"/>
          <w:szCs w:val="24"/>
        </w:rPr>
        <w:t xml:space="preserve">the </w:t>
      </w:r>
      <w:r w:rsidRPr="0071719C">
        <w:rPr>
          <w:rFonts w:eastAsiaTheme="majorEastAsia"/>
          <w:bCs/>
          <w:sz w:val="24"/>
          <w:szCs w:val="24"/>
        </w:rPr>
        <w:t>V</w:t>
      </w:r>
      <w:r w:rsidR="006609A6">
        <w:rPr>
          <w:rFonts w:eastAsiaTheme="majorEastAsia"/>
          <w:bCs/>
          <w:sz w:val="24"/>
          <w:szCs w:val="24"/>
        </w:rPr>
        <w:t xml:space="preserve">irginia </w:t>
      </w:r>
      <w:r w:rsidRPr="0071719C">
        <w:rPr>
          <w:rFonts w:eastAsiaTheme="majorEastAsia"/>
          <w:bCs/>
          <w:sz w:val="24"/>
          <w:szCs w:val="24"/>
        </w:rPr>
        <w:t>D</w:t>
      </w:r>
      <w:r w:rsidR="006609A6">
        <w:rPr>
          <w:rFonts w:eastAsiaTheme="majorEastAsia"/>
          <w:bCs/>
          <w:sz w:val="24"/>
          <w:szCs w:val="24"/>
        </w:rPr>
        <w:t xml:space="preserve">epartment of </w:t>
      </w:r>
      <w:r w:rsidRPr="0071719C">
        <w:rPr>
          <w:rFonts w:eastAsiaTheme="majorEastAsia"/>
          <w:bCs/>
          <w:sz w:val="24"/>
          <w:szCs w:val="24"/>
        </w:rPr>
        <w:t>E</w:t>
      </w:r>
      <w:r w:rsidR="006609A6">
        <w:rPr>
          <w:rFonts w:eastAsiaTheme="majorEastAsia"/>
          <w:bCs/>
          <w:sz w:val="24"/>
          <w:szCs w:val="24"/>
        </w:rPr>
        <w:t>ducation</w:t>
      </w:r>
      <w:r w:rsidRPr="0071719C">
        <w:rPr>
          <w:rFonts w:eastAsiaTheme="majorEastAsia"/>
          <w:bCs/>
          <w:sz w:val="24"/>
          <w:szCs w:val="24"/>
        </w:rPr>
        <w:t xml:space="preserve"> </w:t>
      </w:r>
      <w:r w:rsidR="006609A6">
        <w:rPr>
          <w:rFonts w:eastAsiaTheme="majorEastAsia"/>
          <w:bCs/>
          <w:sz w:val="24"/>
          <w:szCs w:val="24"/>
        </w:rPr>
        <w:t xml:space="preserve">(VDOE) </w:t>
      </w:r>
      <w:r w:rsidRPr="0071719C">
        <w:rPr>
          <w:rFonts w:eastAsiaTheme="majorEastAsia"/>
          <w:bCs/>
          <w:sz w:val="24"/>
          <w:szCs w:val="24"/>
        </w:rPr>
        <w:t xml:space="preserve">has no need to copyright, patent, or own (for example, a report detailing the results of research using VDOE data),  </w:t>
      </w:r>
      <w:r w:rsidR="006609A6" w:rsidRPr="0071719C">
        <w:rPr>
          <w:rFonts w:eastAsiaTheme="majorEastAsia"/>
          <w:bCs/>
          <w:sz w:val="24"/>
          <w:szCs w:val="24"/>
        </w:rPr>
        <w:t xml:space="preserve">the following </w:t>
      </w:r>
      <w:r w:rsidR="006609A6">
        <w:rPr>
          <w:rFonts w:eastAsiaTheme="majorEastAsia"/>
          <w:bCs/>
          <w:sz w:val="24"/>
          <w:szCs w:val="24"/>
        </w:rPr>
        <w:t xml:space="preserve">special </w:t>
      </w:r>
      <w:r w:rsidR="006609A6" w:rsidRPr="0071719C">
        <w:rPr>
          <w:rFonts w:eastAsiaTheme="majorEastAsia"/>
          <w:bCs/>
          <w:sz w:val="24"/>
          <w:szCs w:val="24"/>
        </w:rPr>
        <w:t xml:space="preserve">terms </w:t>
      </w:r>
      <w:r w:rsidR="006609A6">
        <w:rPr>
          <w:rFonts w:eastAsiaTheme="majorEastAsia"/>
          <w:bCs/>
          <w:sz w:val="24"/>
          <w:szCs w:val="24"/>
        </w:rPr>
        <w:t>are applicable to</w:t>
      </w:r>
      <w:r w:rsidR="006609A6" w:rsidRPr="0071719C">
        <w:rPr>
          <w:rFonts w:eastAsiaTheme="majorEastAsia"/>
          <w:bCs/>
          <w:sz w:val="24"/>
          <w:szCs w:val="24"/>
        </w:rPr>
        <w:t xml:space="preserve"> the </w:t>
      </w:r>
      <w:r w:rsidR="006609A6" w:rsidRPr="00A56A00">
        <w:rPr>
          <w:rFonts w:eastAsiaTheme="majorEastAsia"/>
          <w:bCs/>
          <w:sz w:val="24"/>
          <w:szCs w:val="24"/>
        </w:rPr>
        <w:t>grant or cooperative agreement</w:t>
      </w:r>
      <w:r w:rsidR="006609A6" w:rsidRPr="0071719C">
        <w:rPr>
          <w:rFonts w:eastAsiaTheme="majorEastAsia"/>
          <w:bCs/>
          <w:sz w:val="24"/>
          <w:szCs w:val="24"/>
        </w:rPr>
        <w:t>:</w:t>
      </w:r>
    </w:p>
    <w:p w:rsidR="008E3E51" w:rsidRPr="0071719C" w:rsidRDefault="008E3E51" w:rsidP="006609A6">
      <w:pPr>
        <w:pStyle w:val="ListParagraph"/>
        <w:keepNext/>
        <w:keepLines/>
        <w:spacing w:before="480"/>
        <w:contextualSpacing/>
        <w:outlineLvl w:val="0"/>
        <w:rPr>
          <w:rFonts w:eastAsiaTheme="majorEastAsia"/>
          <w:bCs/>
          <w:sz w:val="24"/>
          <w:szCs w:val="24"/>
        </w:rPr>
      </w:pPr>
    </w:p>
    <w:p w:rsidR="00DF4EDA" w:rsidRDefault="0071719C" w:rsidP="00DF4EDA">
      <w:pPr>
        <w:keepNext/>
        <w:keepLines/>
        <w:ind w:left="720"/>
        <w:contextualSpacing/>
        <w:outlineLvl w:val="0"/>
        <w:rPr>
          <w:rFonts w:eastAsiaTheme="majorEastAsia"/>
          <w:b/>
          <w:bCs/>
          <w:sz w:val="24"/>
          <w:szCs w:val="24"/>
        </w:rPr>
      </w:pPr>
      <w:r w:rsidRPr="0071719C">
        <w:rPr>
          <w:rFonts w:eastAsiaTheme="majorEastAsia"/>
          <w:b/>
          <w:bCs/>
          <w:sz w:val="24"/>
          <w:szCs w:val="24"/>
          <w:u w:val="single"/>
        </w:rPr>
        <w:t>OWNERSHIP OF INTELLECTUAL PROPERTY</w:t>
      </w:r>
      <w:r w:rsidRPr="0071719C">
        <w:rPr>
          <w:rFonts w:eastAsiaTheme="majorEastAsia"/>
          <w:b/>
          <w:bCs/>
          <w:sz w:val="24"/>
          <w:szCs w:val="24"/>
        </w:rPr>
        <w:t xml:space="preserve">: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 xml:space="preserve"> will be permitted to prepare academic papers for publication in peer-reviewed journals, book chapters, conferences, theses and dissertations.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will provide the Virginia Department of Education with review copies of all academic papers prior to submission for publications. All academic papers will acknowledge the Virginia Department of Education</w:t>
      </w:r>
      <w:r w:rsidR="006609A6">
        <w:rPr>
          <w:rFonts w:eastAsiaTheme="majorEastAsia"/>
          <w:b/>
          <w:bCs/>
          <w:sz w:val="24"/>
          <w:szCs w:val="24"/>
        </w:rPr>
        <w:t xml:space="preserve"> (and the federal granting authority for grants or cooperative agreements funded with federal funds, </w:t>
      </w:r>
      <w:r w:rsidR="00B74B7D">
        <w:rPr>
          <w:rFonts w:eastAsiaTheme="majorEastAsia"/>
          <w:b/>
          <w:bCs/>
          <w:sz w:val="24"/>
          <w:szCs w:val="24"/>
        </w:rPr>
        <w:t>i.</w:t>
      </w:r>
      <w:r w:rsidR="006609A6">
        <w:rPr>
          <w:rFonts w:eastAsiaTheme="majorEastAsia"/>
          <w:b/>
          <w:bCs/>
          <w:sz w:val="24"/>
          <w:szCs w:val="24"/>
        </w:rPr>
        <w:t>e. U.S. Department of Education)</w:t>
      </w:r>
      <w:r w:rsidRPr="0071719C">
        <w:rPr>
          <w:rFonts w:eastAsiaTheme="majorEastAsia"/>
          <w:b/>
          <w:bCs/>
          <w:sz w:val="24"/>
          <w:szCs w:val="24"/>
        </w:rPr>
        <w:t xml:space="preserve">.  All patents, copyrights and other intellectual property rights in and to all inventions, copyrighted materials, software, data or other work product conceived or developed in the performance of this </w:t>
      </w:r>
      <w:r w:rsidR="006609A6">
        <w:rPr>
          <w:rFonts w:eastAsiaTheme="majorEastAsia"/>
          <w:b/>
          <w:bCs/>
          <w:sz w:val="24"/>
          <w:szCs w:val="24"/>
        </w:rPr>
        <w:t>grant or cooperative agreement “Intellectual Property”</w:t>
      </w:r>
      <w:r w:rsidRPr="0071719C">
        <w:rPr>
          <w:rFonts w:eastAsiaTheme="majorEastAsia"/>
          <w:b/>
          <w:bCs/>
          <w:sz w:val="24"/>
          <w:szCs w:val="24"/>
        </w:rPr>
        <w:t xml:space="preserve"> shall become the sole property of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t>
      </w:r>
      <w:r w:rsidR="006609A6">
        <w:rPr>
          <w:rFonts w:eastAsiaTheme="majorEastAsia"/>
          <w:b/>
          <w:bCs/>
          <w:sz w:val="24"/>
          <w:szCs w:val="24"/>
        </w:rPr>
        <w:t xml:space="preserve">The </w:t>
      </w:r>
      <w:r w:rsidRPr="0071719C">
        <w:rPr>
          <w:rFonts w:eastAsiaTheme="majorEastAsia"/>
          <w:b/>
          <w:bCs/>
          <w:sz w:val="24"/>
          <w:szCs w:val="24"/>
        </w:rPr>
        <w:t>V</w:t>
      </w:r>
      <w:r w:rsidR="006609A6">
        <w:rPr>
          <w:rFonts w:eastAsiaTheme="majorEastAsia"/>
          <w:b/>
          <w:bCs/>
          <w:sz w:val="24"/>
          <w:szCs w:val="24"/>
        </w:rPr>
        <w:t xml:space="preserve">irginia </w:t>
      </w:r>
      <w:r w:rsidRPr="0071719C">
        <w:rPr>
          <w:rFonts w:eastAsiaTheme="majorEastAsia"/>
          <w:b/>
          <w:bCs/>
          <w:sz w:val="24"/>
          <w:szCs w:val="24"/>
        </w:rPr>
        <w:t>D</w:t>
      </w:r>
      <w:r w:rsidR="006609A6">
        <w:rPr>
          <w:rFonts w:eastAsiaTheme="majorEastAsia"/>
          <w:b/>
          <w:bCs/>
          <w:sz w:val="24"/>
          <w:szCs w:val="24"/>
        </w:rPr>
        <w:t xml:space="preserve">epartment of </w:t>
      </w:r>
      <w:r w:rsidRPr="0071719C">
        <w:rPr>
          <w:rFonts w:eastAsiaTheme="majorEastAsia"/>
          <w:b/>
          <w:bCs/>
          <w:sz w:val="24"/>
          <w:szCs w:val="24"/>
        </w:rPr>
        <w:t>E</w:t>
      </w:r>
      <w:r w:rsidR="006609A6">
        <w:rPr>
          <w:rFonts w:eastAsiaTheme="majorEastAsia"/>
          <w:b/>
          <w:bCs/>
          <w:sz w:val="24"/>
          <w:szCs w:val="24"/>
        </w:rPr>
        <w:t>ducation</w:t>
      </w:r>
      <w:r w:rsidRPr="0071719C">
        <w:rPr>
          <w:rFonts w:eastAsiaTheme="majorEastAsia"/>
          <w:b/>
          <w:bCs/>
          <w:sz w:val="24"/>
          <w:szCs w:val="24"/>
        </w:rPr>
        <w:t xml:space="preserve"> retains ownership to the raw data provided to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w:t>
      </w:r>
    </w:p>
    <w:p w:rsidR="0071719C" w:rsidRPr="0071719C" w:rsidRDefault="00DF4EDA" w:rsidP="00DF4EDA">
      <w:pPr>
        <w:keepNext/>
        <w:keepLines/>
        <w:ind w:left="720"/>
        <w:contextualSpacing/>
        <w:outlineLvl w:val="0"/>
        <w:rPr>
          <w:rFonts w:eastAsiaTheme="majorEastAsia"/>
          <w:b/>
          <w:bCs/>
          <w:sz w:val="24"/>
          <w:szCs w:val="24"/>
        </w:rPr>
      </w:pPr>
      <w:r w:rsidRPr="0071719C">
        <w:rPr>
          <w:rFonts w:eastAsiaTheme="majorEastAsia"/>
          <w:b/>
          <w:bCs/>
          <w:sz w:val="24"/>
          <w:szCs w:val="24"/>
        </w:rPr>
        <w:t xml:space="preserve"> </w:t>
      </w:r>
    </w:p>
    <w:p w:rsidR="0071719C" w:rsidRPr="0071719C" w:rsidRDefault="0071719C" w:rsidP="006609A6">
      <w:pPr>
        <w:keepNext/>
        <w:keepLines/>
        <w:spacing w:before="480"/>
        <w:ind w:left="720"/>
        <w:contextualSpacing/>
        <w:outlineLvl w:val="0"/>
        <w:rPr>
          <w:rFonts w:eastAsiaTheme="majorEastAsia"/>
          <w:b/>
          <w:bCs/>
          <w:sz w:val="24"/>
          <w:szCs w:val="24"/>
        </w:rPr>
      </w:pPr>
      <w:r w:rsidRPr="0071719C">
        <w:rPr>
          <w:rFonts w:eastAsiaTheme="majorEastAsia"/>
          <w:b/>
          <w:bCs/>
          <w:sz w:val="24"/>
          <w:szCs w:val="24"/>
          <w:u w:val="single"/>
        </w:rPr>
        <w:t>RIGHTS TO USE MATERIALS</w:t>
      </w:r>
      <w:r w:rsidRPr="0071719C">
        <w:rPr>
          <w:rFonts w:eastAsiaTheme="majorEastAsia"/>
          <w:b/>
          <w:bCs/>
          <w:sz w:val="24"/>
          <w:szCs w:val="24"/>
        </w:rPr>
        <w:t xml:space="preserve">:  The Virginia Department of Education is hereby granted a royalty-free, non-exclusive and irrevocable license in perpetuity to reproduce, publish or otherwise use the Intellectual Property produced by the </w:t>
      </w:r>
      <w:r w:rsidR="0074213A">
        <w:rPr>
          <w:rFonts w:eastAsiaTheme="majorEastAsia"/>
          <w:b/>
          <w:bCs/>
          <w:sz w:val="24"/>
          <w:szCs w:val="24"/>
        </w:rPr>
        <w:t>g</w:t>
      </w:r>
      <w:r w:rsidRPr="006609A6">
        <w:rPr>
          <w:rFonts w:eastAsiaTheme="majorEastAsia"/>
          <w:b/>
          <w:bCs/>
          <w:sz w:val="24"/>
          <w:szCs w:val="24"/>
        </w:rPr>
        <w:t>rant or cooperative agreement</w:t>
      </w:r>
      <w:r w:rsidR="0074213A">
        <w:rPr>
          <w:rFonts w:eastAsiaTheme="majorEastAsia"/>
          <w:b/>
          <w:bCs/>
          <w:sz w:val="24"/>
          <w:szCs w:val="24"/>
        </w:rPr>
        <w:t xml:space="preserve"> recipient</w:t>
      </w:r>
      <w:r w:rsidRPr="0071719C">
        <w:rPr>
          <w:rFonts w:eastAsiaTheme="majorEastAsia"/>
          <w:b/>
          <w:bCs/>
          <w:sz w:val="24"/>
          <w:szCs w:val="24"/>
        </w:rPr>
        <w:t xml:space="preserve"> in performance of this </w:t>
      </w:r>
      <w:r w:rsidR="0074213A">
        <w:rPr>
          <w:rFonts w:eastAsiaTheme="majorEastAsia"/>
          <w:b/>
          <w:bCs/>
          <w:sz w:val="24"/>
          <w:szCs w:val="24"/>
        </w:rPr>
        <w:t xml:space="preserve">grant or cooperative </w:t>
      </w:r>
      <w:r w:rsidRPr="0071719C">
        <w:rPr>
          <w:rFonts w:eastAsiaTheme="majorEastAsia"/>
          <w:b/>
          <w:bCs/>
          <w:sz w:val="24"/>
          <w:szCs w:val="24"/>
        </w:rPr>
        <w:t>agreement, and to use such Intellectual Property for noncommercial purposes and to authorize others to do the same.</w:t>
      </w:r>
    </w:p>
    <w:p w:rsidR="000E6871" w:rsidRDefault="000E6871">
      <w:pPr>
        <w:ind w:left="0"/>
        <w:rPr>
          <w:b/>
          <w:color w:val="000000"/>
          <w:sz w:val="28"/>
          <w:szCs w:val="28"/>
        </w:rPr>
      </w:pPr>
    </w:p>
    <w:p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7D29B7"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7D29B7" w:rsidRDefault="007D29B7">
      <w:pPr>
        <w:ind w:left="0"/>
        <w:rPr>
          <w:sz w:val="24"/>
          <w:szCs w:val="24"/>
        </w:rPr>
      </w:pPr>
      <w:r>
        <w:rPr>
          <w:sz w:val="24"/>
          <w:szCs w:val="24"/>
        </w:rPr>
        <w:br w:type="page"/>
      </w:r>
    </w:p>
    <w:p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rsidR="0084494C" w:rsidRPr="0071719C" w:rsidRDefault="0084494C" w:rsidP="005F49FA">
      <w:pPr>
        <w:tabs>
          <w:tab w:val="left" w:pos="450"/>
        </w:tabs>
        <w:ind w:left="0"/>
        <w:jc w:val="both"/>
        <w:rPr>
          <w:b/>
          <w:color w:val="000000"/>
          <w:sz w:val="24"/>
          <w:szCs w:val="24"/>
        </w:rPr>
      </w:pPr>
    </w:p>
    <w:p w:rsidR="00D3558C" w:rsidRDefault="00D3558C">
      <w:pPr>
        <w:ind w:left="0"/>
        <w:rPr>
          <w:b/>
          <w:color w:val="000000"/>
          <w:sz w:val="24"/>
          <w:szCs w:val="24"/>
        </w:rPr>
      </w:pPr>
      <w:r>
        <w:rPr>
          <w:b/>
          <w:color w:val="000000"/>
          <w:sz w:val="24"/>
          <w:szCs w:val="24"/>
        </w:rPr>
        <w:br w:type="page"/>
      </w:r>
    </w:p>
    <w:p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58077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3C" w:rsidRDefault="00870E3C" w:rsidP="00B83146">
      <w:pPr>
        <w:pStyle w:val="DocumentLabel"/>
      </w:pPr>
      <w:r>
        <w:separator/>
      </w:r>
    </w:p>
  </w:endnote>
  <w:endnote w:type="continuationSeparator" w:id="0">
    <w:p w:rsidR="00870E3C" w:rsidRDefault="00870E3C"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D3" w:rsidRDefault="00DD1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C4081" w:rsidP="00D3558C">
    <w:pPr>
      <w:pStyle w:val="Footer"/>
      <w:jc w:val="right"/>
      <w:rPr>
        <w:rFonts w:ascii="Times New Roman" w:hAnsi="Times New Roman"/>
        <w:sz w:val="16"/>
        <w:szCs w:val="16"/>
      </w:rPr>
    </w:pPr>
    <w:r>
      <w:rPr>
        <w:rFonts w:ascii="Times New Roman" w:hAnsi="Times New Roman"/>
        <w:sz w:val="16"/>
        <w:szCs w:val="16"/>
      </w:rPr>
      <w:t>L</w:t>
    </w:r>
    <w:r w:rsidR="00D3558C">
      <w:rPr>
        <w:rFonts w:ascii="Times New Roman" w:hAnsi="Times New Roman"/>
        <w:sz w:val="16"/>
        <w:szCs w:val="16"/>
      </w:rPr>
      <w:t xml:space="preserve">ast Revised </w:t>
    </w:r>
    <w:proofErr w:type="gramStart"/>
    <w:r w:rsidR="00D3558C">
      <w:rPr>
        <w:rFonts w:ascii="Times New Roman" w:hAnsi="Times New Roman"/>
        <w:sz w:val="16"/>
        <w:szCs w:val="16"/>
      </w:rPr>
      <w:t xml:space="preserve">Date </w:t>
    </w:r>
    <w:r w:rsidR="00C919B6">
      <w:rPr>
        <w:rFonts w:ascii="Times New Roman" w:hAnsi="Times New Roman"/>
        <w:sz w:val="16"/>
        <w:szCs w:val="16"/>
      </w:rPr>
      <w:t xml:space="preserve"> 02</w:t>
    </w:r>
    <w:proofErr w:type="gramEnd"/>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3C" w:rsidRDefault="00870E3C" w:rsidP="00B83146">
      <w:pPr>
        <w:pStyle w:val="DocumentLabel"/>
      </w:pPr>
      <w:r>
        <w:separator/>
      </w:r>
    </w:p>
  </w:footnote>
  <w:footnote w:type="continuationSeparator" w:id="0">
    <w:p w:rsidR="00870E3C" w:rsidRDefault="00870E3C">
      <w:r>
        <w:separator/>
      </w:r>
    </w:p>
  </w:footnote>
  <w:footnote w:type="continuationNotice" w:id="1">
    <w:p w:rsidR="00870E3C" w:rsidRDefault="00870E3C">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D3" w:rsidRDefault="00DD1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B7" w:rsidRPr="0058077E" w:rsidRDefault="007D29B7" w:rsidP="007D29B7">
    <w:pPr>
      <w:pStyle w:val="Header"/>
      <w:tabs>
        <w:tab w:val="clear" w:pos="4320"/>
        <w:tab w:val="clear" w:pos="8640"/>
      </w:tabs>
      <w:jc w:val="right"/>
      <w:rPr>
        <w:rFonts w:ascii="Times New Roman" w:hAnsi="Times New Roman"/>
      </w:rPr>
    </w:pPr>
    <w:r w:rsidRPr="0058077E">
      <w:rPr>
        <w:rFonts w:ascii="Times New Roman" w:hAnsi="Times New Roman"/>
      </w:rPr>
      <w:t>Attachment A – Special Terms and Conditions</w:t>
    </w:r>
  </w:p>
  <w:p w:rsidR="0058077E" w:rsidRPr="0058077E" w:rsidRDefault="00422C26" w:rsidP="0058077E">
    <w:pPr>
      <w:pStyle w:val="Header"/>
      <w:tabs>
        <w:tab w:val="clear" w:pos="4320"/>
        <w:tab w:val="clear" w:pos="8640"/>
      </w:tabs>
      <w:jc w:val="right"/>
      <w:rPr>
        <w:rFonts w:ascii="Times New Roman" w:hAnsi="Times New Roman"/>
      </w:rPr>
    </w:pPr>
    <w:r>
      <w:rPr>
        <w:rFonts w:ascii="Times New Roman" w:hAnsi="Times New Roman"/>
      </w:rPr>
      <w:t>Superintendent’s Memo #</w:t>
    </w:r>
    <w:r w:rsidR="0058077E" w:rsidRPr="0058077E">
      <w:rPr>
        <w:rFonts w:ascii="Times New Roman" w:hAnsi="Times New Roman"/>
      </w:rPr>
      <w:t xml:space="preserve"> </w:t>
    </w:r>
    <w:r w:rsidR="00DD14D3">
      <w:rPr>
        <w:rFonts w:ascii="Times New Roman" w:hAnsi="Times New Roman"/>
      </w:rPr>
      <w:t>208</w:t>
    </w:r>
    <w:r w:rsidR="0058077E" w:rsidRPr="0058077E">
      <w:rPr>
        <w:rFonts w:ascii="Times New Roman" w:hAnsi="Times New Roman"/>
      </w:rPr>
      <w:t>-19</w:t>
    </w:r>
  </w:p>
  <w:p w:rsidR="0058077E" w:rsidRPr="0058077E" w:rsidRDefault="00ED42E0" w:rsidP="0058077E">
    <w:pPr>
      <w:pStyle w:val="Header"/>
      <w:tabs>
        <w:tab w:val="clear" w:pos="4320"/>
        <w:tab w:val="clear" w:pos="8640"/>
      </w:tabs>
      <w:jc w:val="right"/>
      <w:rPr>
        <w:rFonts w:ascii="Times New Roman" w:hAnsi="Times New Roman"/>
      </w:rPr>
    </w:pPr>
    <w:r>
      <w:rPr>
        <w:rFonts w:ascii="Times New Roman" w:hAnsi="Times New Roman"/>
      </w:rPr>
      <w:t>August 30</w:t>
    </w:r>
    <w:r w:rsidR="00E93414">
      <w:rPr>
        <w:rFonts w:ascii="Times New Roman" w:hAnsi="Times New Roman"/>
      </w:rPr>
      <w:t>,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C0" w:rsidRPr="00D3558C" w:rsidRDefault="00587421" w:rsidP="00DF4EDA">
    <w:pPr>
      <w:pStyle w:val="Header"/>
      <w:tabs>
        <w:tab w:val="clear" w:pos="4320"/>
        <w:tab w:val="clear" w:pos="8640"/>
      </w:tabs>
      <w:jc w:val="right"/>
      <w:rPr>
        <w:rFonts w:ascii="Times New Roman" w:hAnsi="Times New Roman"/>
        <w:b/>
      </w:rPr>
    </w:pPr>
    <w:r w:rsidRPr="0058077E">
      <w:rPr>
        <w:rFonts w:ascii="Times New Roman" w:hAnsi="Times New Roman"/>
      </w:rPr>
      <w:t>Attachment A</w:t>
    </w:r>
    <w:r w:rsidR="00FC5963" w:rsidRPr="0058077E">
      <w:rPr>
        <w:rFonts w:ascii="Times New Roman" w:hAnsi="Times New Roman"/>
      </w:rPr>
      <w:t xml:space="preserve"> – Special Terms and </w:t>
    </w:r>
    <w:proofErr w:type="spellStart"/>
    <w:r w:rsidR="00FC5963" w:rsidRPr="0058077E">
      <w:rPr>
        <w:rFonts w:ascii="Times New Roman" w:hAnsi="Times New Roman"/>
      </w:rPr>
      <w:t>Conditions</w:t>
    </w:r>
    <w:r w:rsidR="0058077E" w:rsidRPr="0058077E">
      <w:rPr>
        <w:rFonts w:ascii="Times New Roman" w:hAnsi="Times New Roman"/>
      </w:rPr>
      <w:t>Memo</w:t>
    </w:r>
    <w:proofErr w:type="spellEnd"/>
    <w:r w:rsidR="0058077E" w:rsidRPr="0058077E">
      <w:rPr>
        <w:rFonts w:ascii="Times New Roman" w:hAnsi="Times New Roman"/>
      </w:rPr>
      <w:t xml:space="preserve"> No. XXX-19July 26, 2019</w:t>
    </w:r>
    <w:r w:rsidR="00A56A00" w:rsidRPr="0058077E">
      <w:rPr>
        <w:rFonts w:ascii="Times New Roman" w:hAnsi="Times New Roman"/>
      </w:rPr>
      <w:tab/>
    </w:r>
    <w:r w:rsidR="00A56A00">
      <w:rPr>
        <w:rFonts w:ascii="Times New Roman" w:hAnsi="Times New Roman"/>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2289">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02C36"/>
    <w:rsid w:val="000624CA"/>
    <w:rsid w:val="000B2834"/>
    <w:rsid w:val="000C0778"/>
    <w:rsid w:val="000E6871"/>
    <w:rsid w:val="000F0DD7"/>
    <w:rsid w:val="000F2F7F"/>
    <w:rsid w:val="00124F9E"/>
    <w:rsid w:val="00185D94"/>
    <w:rsid w:val="002531AE"/>
    <w:rsid w:val="00270422"/>
    <w:rsid w:val="002D1FEC"/>
    <w:rsid w:val="00305182"/>
    <w:rsid w:val="00306669"/>
    <w:rsid w:val="003661C0"/>
    <w:rsid w:val="00367D9B"/>
    <w:rsid w:val="00374446"/>
    <w:rsid w:val="0037454F"/>
    <w:rsid w:val="003D593A"/>
    <w:rsid w:val="003E6719"/>
    <w:rsid w:val="00422C26"/>
    <w:rsid w:val="0043471C"/>
    <w:rsid w:val="004409D6"/>
    <w:rsid w:val="00457D17"/>
    <w:rsid w:val="004F3B84"/>
    <w:rsid w:val="00553EA5"/>
    <w:rsid w:val="0055421F"/>
    <w:rsid w:val="0055679D"/>
    <w:rsid w:val="005671CA"/>
    <w:rsid w:val="0058077E"/>
    <w:rsid w:val="00586602"/>
    <w:rsid w:val="00587421"/>
    <w:rsid w:val="005F49FA"/>
    <w:rsid w:val="005F4CA7"/>
    <w:rsid w:val="006342CA"/>
    <w:rsid w:val="006413A2"/>
    <w:rsid w:val="00647227"/>
    <w:rsid w:val="006505A0"/>
    <w:rsid w:val="006609A6"/>
    <w:rsid w:val="00697B95"/>
    <w:rsid w:val="006E7CF7"/>
    <w:rsid w:val="006F7C87"/>
    <w:rsid w:val="007108D6"/>
    <w:rsid w:val="0071330B"/>
    <w:rsid w:val="0071719C"/>
    <w:rsid w:val="0074213A"/>
    <w:rsid w:val="00766390"/>
    <w:rsid w:val="00773831"/>
    <w:rsid w:val="007D29B7"/>
    <w:rsid w:val="0084494C"/>
    <w:rsid w:val="00851EB4"/>
    <w:rsid w:val="00870E3C"/>
    <w:rsid w:val="00870F39"/>
    <w:rsid w:val="00876F86"/>
    <w:rsid w:val="008B09C4"/>
    <w:rsid w:val="008B4C60"/>
    <w:rsid w:val="008E3E51"/>
    <w:rsid w:val="008F7211"/>
    <w:rsid w:val="009963CE"/>
    <w:rsid w:val="009A6B28"/>
    <w:rsid w:val="009D1E57"/>
    <w:rsid w:val="009D4714"/>
    <w:rsid w:val="00A320CB"/>
    <w:rsid w:val="00A56A00"/>
    <w:rsid w:val="00AA3462"/>
    <w:rsid w:val="00AE7411"/>
    <w:rsid w:val="00AF09C0"/>
    <w:rsid w:val="00B15B0A"/>
    <w:rsid w:val="00B71789"/>
    <w:rsid w:val="00B74B7D"/>
    <w:rsid w:val="00B77CAA"/>
    <w:rsid w:val="00B83146"/>
    <w:rsid w:val="00B83205"/>
    <w:rsid w:val="00BB283F"/>
    <w:rsid w:val="00BD0B37"/>
    <w:rsid w:val="00BD4DA9"/>
    <w:rsid w:val="00BD6115"/>
    <w:rsid w:val="00C14D56"/>
    <w:rsid w:val="00C24AC8"/>
    <w:rsid w:val="00C24ED1"/>
    <w:rsid w:val="00C43390"/>
    <w:rsid w:val="00C56E99"/>
    <w:rsid w:val="00C919B6"/>
    <w:rsid w:val="00CC19C0"/>
    <w:rsid w:val="00CF77B6"/>
    <w:rsid w:val="00D3558C"/>
    <w:rsid w:val="00D4099E"/>
    <w:rsid w:val="00D65A81"/>
    <w:rsid w:val="00DC4081"/>
    <w:rsid w:val="00DD14D3"/>
    <w:rsid w:val="00DF4EDA"/>
    <w:rsid w:val="00DF5B25"/>
    <w:rsid w:val="00E14F19"/>
    <w:rsid w:val="00E32E81"/>
    <w:rsid w:val="00E439D2"/>
    <w:rsid w:val="00E57B8D"/>
    <w:rsid w:val="00E64F7E"/>
    <w:rsid w:val="00E71A21"/>
    <w:rsid w:val="00E844F1"/>
    <w:rsid w:val="00E93414"/>
    <w:rsid w:val="00EB31CC"/>
    <w:rsid w:val="00EC5F3F"/>
    <w:rsid w:val="00EC6D74"/>
    <w:rsid w:val="00EC7924"/>
    <w:rsid w:val="00ED42E0"/>
    <w:rsid w:val="00F0419A"/>
    <w:rsid w:val="00F1070B"/>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2d2d2,#cdcdcd,#c8c8c8,#c1c1c1"/>
    </o:shapedefaults>
    <o:shapelayout v:ext="edit">
      <o:idmap v:ext="edit" data="1"/>
    </o:shapelayout>
  </w:shapeDefaults>
  <w:decimalSymbol w:val="."/>
  <w:listSeparator w:val=","/>
  <w15:docId w15:val="{09CFCB57-B190-4AAF-948A-3B40FA9A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6CE14-2098-4529-8C9D-55862EC5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Jennings, Laura (DOE)</cp:lastModifiedBy>
  <cp:revision>2</cp:revision>
  <cp:lastPrinted>2019-08-15T12:10:00Z</cp:lastPrinted>
  <dcterms:created xsi:type="dcterms:W3CDTF">2019-08-28T00:24:00Z</dcterms:created>
  <dcterms:modified xsi:type="dcterms:W3CDTF">2019-08-28T00:24:00Z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