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31" w:rsidRDefault="009B3131" w:rsidP="009B31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3131" w:rsidRPr="009B3131" w:rsidRDefault="009B3131" w:rsidP="009B3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31">
        <w:rPr>
          <w:rFonts w:ascii="Times New Roman" w:hAnsi="Times New Roman" w:cs="Times New Roman"/>
          <w:sz w:val="24"/>
          <w:szCs w:val="24"/>
        </w:rPr>
        <w:t>Virginia Department of Education</w:t>
      </w:r>
    </w:p>
    <w:p w:rsidR="009B3131" w:rsidRPr="009B3131" w:rsidRDefault="009B3131" w:rsidP="009B3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131">
        <w:rPr>
          <w:rFonts w:ascii="Times New Roman" w:hAnsi="Times New Roman" w:cs="Times New Roman"/>
          <w:sz w:val="24"/>
          <w:szCs w:val="24"/>
        </w:rPr>
        <w:t>Office of Career, Technical and Adult Education</w:t>
      </w:r>
    </w:p>
    <w:p w:rsidR="00AA775C" w:rsidRDefault="00D919F1" w:rsidP="009B3131">
      <w:pPr>
        <w:pStyle w:val="Heading1"/>
      </w:pPr>
      <w:r>
        <w:t>FY 2020 (School Year 2019-2020</w:t>
      </w:r>
      <w:r w:rsidR="009B3131" w:rsidRPr="009B3131">
        <w:t>) Equipment Allocation by School Division for High-Demand, Fast-Growth Industry Sectors</w:t>
      </w:r>
    </w:p>
    <w:tbl>
      <w:tblPr>
        <w:tblStyle w:val="TableGrid"/>
        <w:tblW w:w="10171" w:type="dxa"/>
        <w:tblLook w:val="04A0" w:firstRow="1" w:lastRow="0" w:firstColumn="1" w:lastColumn="0" w:noHBand="0" w:noVBand="1"/>
        <w:tblDescription w:val="FY 2019 (School Year 2018-2019) Equipment Allocation by School Division for High-Demand, Fast-Growth Industry Sectors"/>
      </w:tblPr>
      <w:tblGrid>
        <w:gridCol w:w="974"/>
        <w:gridCol w:w="2914"/>
        <w:gridCol w:w="1626"/>
        <w:gridCol w:w="1434"/>
        <w:gridCol w:w="1530"/>
        <w:gridCol w:w="1693"/>
      </w:tblGrid>
      <w:tr w:rsidR="009B3131" w:rsidRPr="009B3131" w:rsidTr="009B3131">
        <w:trPr>
          <w:trHeight w:val="1110"/>
          <w:tblHeader/>
        </w:trPr>
        <w:tc>
          <w:tcPr>
            <w:tcW w:w="974" w:type="dxa"/>
            <w:hideMark/>
          </w:tcPr>
          <w:p w:rsidR="009B3131" w:rsidRPr="009B3131" w:rsidRDefault="009B3131" w:rsidP="009B3131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RANGE!A140:F186"/>
            <w:r w:rsidRPr="009B3131">
              <w:rPr>
                <w:rFonts w:ascii="Times New Roman" w:eastAsia="Times New Roman" w:hAnsi="Times New Roman" w:cs="Times New Roman"/>
              </w:rPr>
              <w:t>Division No.</w:t>
            </w:r>
            <w:bookmarkEnd w:id="1"/>
          </w:p>
        </w:tc>
        <w:tc>
          <w:tcPr>
            <w:tcW w:w="2914" w:type="dxa"/>
            <w:hideMark/>
          </w:tcPr>
          <w:p w:rsidR="009B3131" w:rsidRPr="009B3131" w:rsidRDefault="009B3131" w:rsidP="009B31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>Regional CTE Center/Division Name</w:t>
            </w:r>
          </w:p>
        </w:tc>
        <w:tc>
          <w:tcPr>
            <w:tcW w:w="1626" w:type="dxa"/>
            <w:hideMark/>
          </w:tcPr>
          <w:p w:rsidR="009B3131" w:rsidRPr="009B3131" w:rsidRDefault="00D919F1" w:rsidP="009B31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CTE Enrollment SY 2018-2019</w:t>
            </w:r>
          </w:p>
        </w:tc>
        <w:tc>
          <w:tcPr>
            <w:tcW w:w="1434" w:type="dxa"/>
            <w:hideMark/>
          </w:tcPr>
          <w:p w:rsidR="009B3131" w:rsidRPr="009B3131" w:rsidRDefault="009B3131" w:rsidP="009B31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>Floor Entitlement</w:t>
            </w:r>
          </w:p>
        </w:tc>
        <w:tc>
          <w:tcPr>
            <w:tcW w:w="1530" w:type="dxa"/>
            <w:hideMark/>
          </w:tcPr>
          <w:p w:rsidR="009B3131" w:rsidRPr="009B3131" w:rsidRDefault="009B3131" w:rsidP="009B313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Enrollment-Based Entitlement </w:t>
            </w:r>
          </w:p>
        </w:tc>
        <w:tc>
          <w:tcPr>
            <w:tcW w:w="1693" w:type="dxa"/>
            <w:hideMark/>
          </w:tcPr>
          <w:p w:rsidR="009B3131" w:rsidRPr="009B3131" w:rsidRDefault="00D919F1" w:rsidP="009B31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 2019-2020</w:t>
            </w:r>
            <w:r w:rsidR="009B3131" w:rsidRPr="009B3131">
              <w:rPr>
                <w:rFonts w:ascii="Times New Roman" w:eastAsia="Times New Roman" w:hAnsi="Times New Roman" w:cs="Times New Roman"/>
              </w:rPr>
              <w:t xml:space="preserve"> Regional Equipment Allocation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>301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Charlottesville - Albemarle Regional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422 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$748.97 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$3,748.97 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104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Charlottesville City *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002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Albemarle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>302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Jackson River Regional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518 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$919.36 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$3,919.36 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003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Alleghany County *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107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Covington City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304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Massanutten Regional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966 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$1,714.47 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$4,714.47 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082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Rockingham County *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113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Harrisonburg City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306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Valley Regional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708 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$1,256.57 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$5,756.57 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008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Augusta County *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126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Staunton City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130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Waynesboro City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307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New Horizons Regional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1,769 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$3,139.65 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$12,139.65 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112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Hampton City *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036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Gloucester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098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 York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117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Newport News City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131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Williamsburg City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142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Poquoson City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309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Rowanty Regional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335 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$594.56 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$5,094.56 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074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Prince George County *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027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Dinwiddie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091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Sussex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310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Northern Neck Regional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318 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$564.39 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$9,564.39 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079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Richmond County *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028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Essex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051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Lancaster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066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Northumberland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095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Westmoreland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202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Colonial Beach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311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 Amelia-Nottoway Regional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 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$131.34 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$3,131.34 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067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Nottoway County *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004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Amelia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313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131">
              <w:rPr>
                <w:rFonts w:ascii="Times New Roman" w:eastAsia="Times New Roman" w:hAnsi="Times New Roman" w:cs="Times New Roman"/>
                <w:b/>
                <w:bCs/>
              </w:rPr>
              <w:t xml:space="preserve">Bridging Communities Regional 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158 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$280.42 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$7,780.42 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019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Charles City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049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King and Queen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050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King William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19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059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Middlesex County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225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063 </w:t>
            </w: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  <w:r w:rsidRPr="009B3131">
              <w:rPr>
                <w:rFonts w:ascii="Times New Roman" w:eastAsia="Times New Roman" w:hAnsi="Times New Roman" w:cs="Times New Roman"/>
              </w:rPr>
              <w:t xml:space="preserve">   New Kent County *</w:t>
            </w: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$1,500.00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19F1" w:rsidRPr="009B3131" w:rsidTr="00DB18BB">
        <w:trPr>
          <w:trHeight w:val="360"/>
        </w:trPr>
        <w:tc>
          <w:tcPr>
            <w:tcW w:w="974" w:type="dxa"/>
            <w:noWrap/>
            <w:hideMark/>
          </w:tcPr>
          <w:p w:rsidR="00D919F1" w:rsidRPr="009B3131" w:rsidRDefault="00D919F1" w:rsidP="009B31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4" w:type="dxa"/>
            <w:noWrap/>
            <w:hideMark/>
          </w:tcPr>
          <w:p w:rsidR="00D919F1" w:rsidRPr="009B3131" w:rsidRDefault="00D919F1" w:rsidP="009B31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6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5,268 </w:t>
            </w:r>
          </w:p>
        </w:tc>
        <w:tc>
          <w:tcPr>
            <w:tcW w:w="1434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$46,500.00 </w:t>
            </w:r>
          </w:p>
        </w:tc>
        <w:tc>
          <w:tcPr>
            <w:tcW w:w="1530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$9,349.73 </w:t>
            </w:r>
          </w:p>
        </w:tc>
        <w:tc>
          <w:tcPr>
            <w:tcW w:w="1693" w:type="dxa"/>
            <w:noWrap/>
            <w:vAlign w:val="center"/>
            <w:hideMark/>
          </w:tcPr>
          <w:p w:rsidR="00D919F1" w:rsidRDefault="00D919F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$55,849.73 </w:t>
            </w:r>
          </w:p>
        </w:tc>
      </w:tr>
    </w:tbl>
    <w:p w:rsidR="009B3131" w:rsidRDefault="009B3131"/>
    <w:p w:rsidR="009B3131" w:rsidRPr="009B3131" w:rsidRDefault="009B3131" w:rsidP="009B3131">
      <w:pPr>
        <w:tabs>
          <w:tab w:val="left" w:pos="5514"/>
          <w:tab w:val="left" w:pos="6948"/>
          <w:tab w:val="left" w:pos="8478"/>
        </w:tabs>
        <w:rPr>
          <w:rFonts w:ascii="Times New Roman" w:eastAsia="Times New Roman" w:hAnsi="Times New Roman" w:cs="Times New Roman"/>
        </w:rPr>
      </w:pPr>
      <w:r w:rsidRPr="009B3131">
        <w:rPr>
          <w:rFonts w:ascii="Times New Roman" w:eastAsia="Times New Roman" w:hAnsi="Times New Roman" w:cs="Times New Roman"/>
        </w:rPr>
        <w:t>NOTE: * Indicates Fiscal Agent for Regional CTE Centers</w:t>
      </w:r>
    </w:p>
    <w:p w:rsidR="009B3131" w:rsidRDefault="009B3131"/>
    <w:sectPr w:rsidR="009B3131" w:rsidSect="00554B9F">
      <w:headerReference w:type="default" r:id="rId6"/>
      <w:footerReference w:type="default" r:id="rId7"/>
      <w:pgSz w:w="12240" w:h="15840"/>
      <w:pgMar w:top="360" w:right="1440" w:bottom="153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31" w:rsidRDefault="009B3131" w:rsidP="009B3131">
      <w:pPr>
        <w:spacing w:after="0" w:line="240" w:lineRule="auto"/>
      </w:pPr>
      <w:r>
        <w:separator/>
      </w:r>
    </w:p>
  </w:endnote>
  <w:endnote w:type="continuationSeparator" w:id="0">
    <w:p w:rsidR="009B3131" w:rsidRDefault="009B3131" w:rsidP="009B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83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3131" w:rsidRDefault="009B31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3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3131" w:rsidRDefault="009B3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31" w:rsidRDefault="009B3131" w:rsidP="009B3131">
      <w:pPr>
        <w:spacing w:after="0" w:line="240" w:lineRule="auto"/>
      </w:pPr>
      <w:r>
        <w:separator/>
      </w:r>
    </w:p>
  </w:footnote>
  <w:footnote w:type="continuationSeparator" w:id="0">
    <w:p w:rsidR="009B3131" w:rsidRDefault="009B3131" w:rsidP="009B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9F" w:rsidRDefault="00554B9F" w:rsidP="00554B9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Attachment B</w:t>
    </w:r>
  </w:p>
  <w:p w:rsidR="00554B9F" w:rsidRDefault="00554B9F" w:rsidP="00554B9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 w:rsidRPr="001268CF">
      <w:rPr>
        <w:rFonts w:ascii="Times New Roman" w:eastAsia="Times New Roman" w:hAnsi="Times New Roman" w:cs="Times New Roman"/>
        <w:b/>
        <w:sz w:val="20"/>
        <w:szCs w:val="24"/>
      </w:rPr>
      <w:t>Sup</w:t>
    </w:r>
    <w:r>
      <w:rPr>
        <w:rFonts w:ascii="Times New Roman" w:eastAsia="Times New Roman" w:hAnsi="Times New Roman" w:cs="Times New Roman"/>
        <w:b/>
        <w:sz w:val="20"/>
        <w:szCs w:val="24"/>
      </w:rPr>
      <w:t>erintendent’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s Memo </w:t>
    </w:r>
    <w:r>
      <w:rPr>
        <w:rFonts w:ascii="Times New Roman" w:eastAsia="Times New Roman" w:hAnsi="Times New Roman" w:cs="Times New Roman"/>
        <w:b/>
        <w:sz w:val="20"/>
        <w:szCs w:val="24"/>
      </w:rPr>
      <w:t>#</w:t>
    </w:r>
    <w:r w:rsidRPr="001268CF">
      <w:rPr>
        <w:rFonts w:ascii="Times New Roman" w:eastAsia="Times New Roman" w:hAnsi="Times New Roman" w:cs="Times New Roman"/>
        <w:b/>
        <w:sz w:val="20"/>
        <w:szCs w:val="24"/>
      </w:rPr>
      <w:t xml:space="preserve"> </w:t>
    </w:r>
    <w:r w:rsidR="00294A8F">
      <w:rPr>
        <w:rFonts w:ascii="Times New Roman" w:eastAsia="Times New Roman" w:hAnsi="Times New Roman" w:cs="Times New Roman"/>
        <w:b/>
        <w:sz w:val="20"/>
        <w:szCs w:val="24"/>
      </w:rPr>
      <w:t>165</w:t>
    </w:r>
    <w:r>
      <w:rPr>
        <w:rFonts w:ascii="Times New Roman" w:eastAsia="Times New Roman" w:hAnsi="Times New Roman" w:cs="Times New Roman"/>
        <w:b/>
        <w:sz w:val="20"/>
        <w:szCs w:val="24"/>
      </w:rPr>
      <w:t xml:space="preserve">-19 </w:t>
    </w:r>
  </w:p>
  <w:p w:rsidR="00554B9F" w:rsidRDefault="00554B9F" w:rsidP="00554B9F">
    <w:pPr>
      <w:pStyle w:val="Header"/>
      <w:jc w:val="right"/>
      <w:rPr>
        <w:rFonts w:ascii="Times New Roman" w:eastAsia="Times New Roman" w:hAnsi="Times New Roman" w:cs="Times New Roman"/>
        <w:b/>
        <w:sz w:val="20"/>
        <w:szCs w:val="24"/>
      </w:rPr>
    </w:pPr>
    <w:r>
      <w:rPr>
        <w:rFonts w:ascii="Times New Roman" w:eastAsia="Times New Roman" w:hAnsi="Times New Roman" w:cs="Times New Roman"/>
        <w:b/>
        <w:sz w:val="20"/>
        <w:szCs w:val="24"/>
      </w:rPr>
      <w:t>July 1</w:t>
    </w:r>
    <w:r w:rsidR="00294A8F">
      <w:rPr>
        <w:rFonts w:ascii="Times New Roman" w:eastAsia="Times New Roman" w:hAnsi="Times New Roman" w:cs="Times New Roman"/>
        <w:b/>
        <w:sz w:val="20"/>
        <w:szCs w:val="24"/>
      </w:rPr>
      <w:t>9</w:t>
    </w:r>
    <w:r>
      <w:rPr>
        <w:rFonts w:ascii="Times New Roman" w:eastAsia="Times New Roman" w:hAnsi="Times New Roman" w:cs="Times New Roman"/>
        <w:b/>
        <w:sz w:val="20"/>
        <w:szCs w:val="24"/>
      </w:rPr>
      <w:t>, 2019</w:t>
    </w:r>
  </w:p>
  <w:p w:rsidR="00554B9F" w:rsidRDefault="00554B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formatting="1" w:enforcement="1" w:cryptProviderType="rsaFull" w:cryptAlgorithmClass="hash" w:cryptAlgorithmType="typeAny" w:cryptAlgorithmSid="4" w:cryptSpinCount="100000" w:hash="pMHa5wAezhtNw784evXCw8vU0tk=" w:salt="Cq00h8/1YkqqDYqDyUvw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31"/>
    <w:rsid w:val="00294A8F"/>
    <w:rsid w:val="00554B9F"/>
    <w:rsid w:val="00771EEB"/>
    <w:rsid w:val="00997D36"/>
    <w:rsid w:val="009B3131"/>
    <w:rsid w:val="00AA775C"/>
    <w:rsid w:val="00D873EA"/>
    <w:rsid w:val="00D9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3ACAA4-E320-4525-9F7C-9D11B999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3131"/>
    <w:pPr>
      <w:spacing w:after="0"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13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B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3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131"/>
  </w:style>
  <w:style w:type="paragraph" w:styleId="Footer">
    <w:name w:val="footer"/>
    <w:basedOn w:val="Normal"/>
    <w:link w:val="FooterChar"/>
    <w:uiPriority w:val="99"/>
    <w:unhideWhenUsed/>
    <w:rsid w:val="009B3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131"/>
  </w:style>
  <w:style w:type="paragraph" w:styleId="BalloonText">
    <w:name w:val="Balloon Text"/>
    <w:basedOn w:val="Normal"/>
    <w:link w:val="BalloonTextChar"/>
    <w:uiPriority w:val="99"/>
    <w:semiHidden/>
    <w:unhideWhenUsed/>
    <w:rsid w:val="0055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2019 (School Year 2018-2019) Equipment Allocation by School Division for High-Demand, Fast-Growth Industry Sectors</vt:lpstr>
    </vt:vector>
  </TitlesOfParts>
  <Company>Virginia IT Infrastructure Partnership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2019 (School Year 2018-2019) Equipment Allocation by School Division for High-Demand, Fast-Growth Industry Sectors</dc:title>
  <dc:creator>sha23579</dc:creator>
  <cp:lastModifiedBy>Jennings, Laura (DOE)</cp:lastModifiedBy>
  <cp:revision>2</cp:revision>
  <dcterms:created xsi:type="dcterms:W3CDTF">2019-07-16T15:17:00Z</dcterms:created>
  <dcterms:modified xsi:type="dcterms:W3CDTF">2019-07-16T15:17:00Z</dcterms:modified>
</cp:coreProperties>
</file>