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167950" w:rsidP="00167950">
      <w:pPr>
        <w:pStyle w:val="Heading1"/>
        <w:tabs>
          <w:tab w:val="left" w:pos="1440"/>
        </w:tabs>
      </w:pPr>
      <w:bookmarkStart w:id="0" w:name="_GoBack"/>
      <w:bookmarkEnd w:id="0"/>
      <w:r>
        <w:t>Superintendent’s Memo #</w:t>
      </w:r>
      <w:r w:rsidR="007157B6">
        <w:t>159</w:t>
      </w:r>
      <w:r w:rsidR="00DA455B">
        <w:t>-19</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2D55C3" w:rsidRDefault="00167950" w:rsidP="00167950">
      <w:pPr>
        <w:rPr>
          <w:szCs w:val="24"/>
        </w:rPr>
      </w:pPr>
      <w:r w:rsidRPr="002D55C3">
        <w:rPr>
          <w:szCs w:val="24"/>
        </w:rPr>
        <w:t xml:space="preserve">DATE: </w:t>
      </w:r>
      <w:r w:rsidR="00AE73D6">
        <w:rPr>
          <w:szCs w:val="24"/>
        </w:rPr>
        <w:tab/>
      </w:r>
      <w:r w:rsidR="002934CA">
        <w:rPr>
          <w:szCs w:val="24"/>
        </w:rPr>
        <w:t>July 12</w:t>
      </w:r>
      <w:r w:rsidR="00DA455B">
        <w:rPr>
          <w:szCs w:val="24"/>
        </w:rPr>
        <w:t>, 2019</w:t>
      </w:r>
    </w:p>
    <w:p w:rsidR="00167950" w:rsidRPr="002D55C3" w:rsidRDefault="00167950" w:rsidP="00167950">
      <w:pPr>
        <w:rPr>
          <w:szCs w:val="24"/>
        </w:rPr>
      </w:pPr>
      <w:r w:rsidRPr="002D55C3">
        <w:rPr>
          <w:szCs w:val="24"/>
        </w:rPr>
        <w:t xml:space="preserve">TO: </w:t>
      </w:r>
      <w:r w:rsidR="00AE73D6">
        <w:rPr>
          <w:szCs w:val="24"/>
        </w:rPr>
        <w:tab/>
      </w:r>
      <w:r w:rsidR="00AE73D6">
        <w:rPr>
          <w:szCs w:val="24"/>
        </w:rPr>
        <w:tab/>
      </w:r>
      <w:r w:rsidRPr="002D55C3">
        <w:rPr>
          <w:szCs w:val="24"/>
        </w:rPr>
        <w:t>Division Superintendents</w:t>
      </w:r>
    </w:p>
    <w:p w:rsidR="00167950" w:rsidRPr="002D55C3" w:rsidRDefault="00167950" w:rsidP="00167950">
      <w:pPr>
        <w:rPr>
          <w:szCs w:val="24"/>
        </w:rPr>
      </w:pPr>
      <w:r w:rsidRPr="002D55C3">
        <w:rPr>
          <w:szCs w:val="24"/>
        </w:rPr>
        <w:t xml:space="preserve">FROM: </w:t>
      </w:r>
      <w:r w:rsidR="00AE73D6">
        <w:rPr>
          <w:szCs w:val="24"/>
        </w:rPr>
        <w:tab/>
      </w:r>
      <w:r w:rsidR="00AE73D6" w:rsidRPr="00AE73D6">
        <w:rPr>
          <w:szCs w:val="24"/>
        </w:rPr>
        <w:t>James F. Lane, Ed.D., Superintendent of Public Instruction</w:t>
      </w:r>
    </w:p>
    <w:p w:rsidR="00167950" w:rsidRPr="002D55C3" w:rsidRDefault="00167950" w:rsidP="00AE73D6">
      <w:pPr>
        <w:pStyle w:val="Heading2"/>
        <w:ind w:left="1440" w:hanging="1440"/>
        <w:rPr>
          <w:szCs w:val="24"/>
        </w:rPr>
      </w:pPr>
      <w:r w:rsidRPr="002D55C3">
        <w:rPr>
          <w:szCs w:val="24"/>
        </w:rPr>
        <w:t xml:space="preserve">SUBJECT: </w:t>
      </w:r>
      <w:r w:rsidR="00AE73D6">
        <w:rPr>
          <w:szCs w:val="24"/>
        </w:rPr>
        <w:tab/>
      </w:r>
      <w:r w:rsidR="002934CA">
        <w:rPr>
          <w:szCs w:val="24"/>
        </w:rPr>
        <w:t xml:space="preserve">Update on </w:t>
      </w:r>
      <w:r w:rsidR="008C66BB">
        <w:t>Proposed</w:t>
      </w:r>
      <w:r w:rsidR="00520EC8">
        <w:t xml:space="preserve"> Amendment to </w:t>
      </w:r>
      <w:r w:rsidR="00D85B51" w:rsidRPr="00D85B51">
        <w:t xml:space="preserve">Virginia’s </w:t>
      </w:r>
      <w:r w:rsidR="00D85B51" w:rsidRPr="00520EC8">
        <w:rPr>
          <w:i/>
        </w:rPr>
        <w:t>Every Studen</w:t>
      </w:r>
      <w:r w:rsidR="00520EC8" w:rsidRPr="00520EC8">
        <w:rPr>
          <w:i/>
        </w:rPr>
        <w:t xml:space="preserve">t Succeeds Act of 2015 </w:t>
      </w:r>
      <w:r w:rsidR="00520EC8">
        <w:t>(ESSA) State Plan</w:t>
      </w:r>
      <w:r w:rsidR="008C66BB">
        <w:t xml:space="preserve"> </w:t>
      </w:r>
    </w:p>
    <w:p w:rsidR="008D650A" w:rsidRDefault="00FB10E3" w:rsidP="008D650A">
      <w:pPr>
        <w:spacing w:after="0"/>
      </w:pPr>
      <w:hyperlink r:id="rId10" w:history="1">
        <w:r w:rsidR="008C66BB" w:rsidRPr="008C66BB">
          <w:rPr>
            <w:rStyle w:val="Hyperlink"/>
          </w:rPr>
          <w:t>Superintendent’s Memo #127-19</w:t>
        </w:r>
      </w:hyperlink>
      <w:r w:rsidR="008C66BB">
        <w:t xml:space="preserve"> a</w:t>
      </w:r>
      <w:r w:rsidR="002934CA">
        <w:t xml:space="preserve">nd </w:t>
      </w:r>
      <w:hyperlink r:id="rId11" w:history="1">
        <w:r w:rsidR="002934CA" w:rsidRPr="00031242">
          <w:rPr>
            <w:rStyle w:val="Hyperlink"/>
          </w:rPr>
          <w:t xml:space="preserve">Superintendent’s Memo </w:t>
        </w:r>
        <w:r w:rsidR="00C406EC">
          <w:rPr>
            <w:rStyle w:val="Hyperlink"/>
          </w:rPr>
          <w:t>#</w:t>
        </w:r>
        <w:r w:rsidR="002934CA" w:rsidRPr="00031242">
          <w:rPr>
            <w:rStyle w:val="Hyperlink"/>
          </w:rPr>
          <w:t>135-19</w:t>
        </w:r>
      </w:hyperlink>
      <w:r w:rsidR="002934CA">
        <w:t xml:space="preserve"> a</w:t>
      </w:r>
      <w:r w:rsidR="008C66BB">
        <w:t xml:space="preserve">nnounced the opportunity to comment on </w:t>
      </w:r>
      <w:r w:rsidR="00CF46DC">
        <w:t xml:space="preserve">an amendment to </w:t>
      </w:r>
      <w:r w:rsidR="008C66BB">
        <w:t>Virginia’s</w:t>
      </w:r>
      <w:r w:rsidR="00520EC8">
        <w:t xml:space="preserve"> </w:t>
      </w:r>
      <w:hyperlink r:id="rId12" w:history="1">
        <w:r w:rsidR="00520EC8" w:rsidRPr="00212716">
          <w:rPr>
            <w:rStyle w:val="Hyperlink"/>
          </w:rPr>
          <w:t>ESSA State Plan</w:t>
        </w:r>
      </w:hyperlink>
      <w:r w:rsidR="00536061">
        <w:t xml:space="preserve">. </w:t>
      </w:r>
      <w:r w:rsidR="00797C12">
        <w:t xml:space="preserve">Additional information on the proposed amendment is provided below. </w:t>
      </w:r>
    </w:p>
    <w:p w:rsidR="00281814" w:rsidRDefault="00281814" w:rsidP="00DA455B">
      <w:pPr>
        <w:contextualSpacing/>
      </w:pPr>
    </w:p>
    <w:p w:rsidR="008C66BB" w:rsidRDefault="00797C12" w:rsidP="008C66BB">
      <w:pPr>
        <w:contextualSpacing/>
        <w:rPr>
          <w:u w:val="single"/>
        </w:rPr>
      </w:pPr>
      <w:r>
        <w:rPr>
          <w:u w:val="single"/>
        </w:rPr>
        <w:t>Mathematics</w:t>
      </w:r>
      <w:r w:rsidR="008C66BB" w:rsidRPr="005D75BF">
        <w:rPr>
          <w:u w:val="single"/>
        </w:rPr>
        <w:t xml:space="preserve"> Targets</w:t>
      </w:r>
    </w:p>
    <w:p w:rsidR="00394DAA" w:rsidRDefault="00394DAA" w:rsidP="00394DAA">
      <w:pPr>
        <w:contextualSpacing/>
      </w:pPr>
      <w:r w:rsidRPr="009B33E5">
        <w:t xml:space="preserve">In accordance with Virginia’s standards and assessment review schedule, new </w:t>
      </w:r>
      <w:r>
        <w:t xml:space="preserve">Standards of Learning </w:t>
      </w:r>
      <w:r w:rsidRPr="009B33E5">
        <w:t>mathematics</w:t>
      </w:r>
      <w:r>
        <w:t xml:space="preserve"> tests</w:t>
      </w:r>
      <w:r w:rsidRPr="009B33E5">
        <w:t xml:space="preserve"> </w:t>
      </w:r>
      <w:r>
        <w:t>were administered during the 2018-2019 school year. The new targets must be submitted to the U.S. Department of Education (USED) for review and approval. The proposed targets are provided in the table below. As in previous years when new tests were administered, the new baseline</w:t>
      </w:r>
      <w:r w:rsidR="00C406EC">
        <w:t xml:space="preserve"> for each student group</w:t>
      </w:r>
      <w:r>
        <w:t xml:space="preserve"> is used as the current year’s target. In instances where the targets have changed, the previous targets are denoted using strikethrough and the new targets are underlined. </w:t>
      </w:r>
    </w:p>
    <w:p w:rsidR="00797C12" w:rsidRDefault="00797C12" w:rsidP="00797C12">
      <w:pPr>
        <w:contextualSpacing/>
      </w:pPr>
    </w:p>
    <w:p w:rsidR="00797C12" w:rsidRPr="00797C12" w:rsidRDefault="00797C12" w:rsidP="00797C12">
      <w:pPr>
        <w:contextualSpacing/>
        <w:jc w:val="center"/>
      </w:pPr>
      <w:r w:rsidRPr="003140BC">
        <w:rPr>
          <w:rFonts w:cs="Times New Roman"/>
          <w:b/>
          <w:szCs w:val="24"/>
        </w:rPr>
        <w:t>Mathematics</w:t>
      </w:r>
      <w:r>
        <w:rPr>
          <w:rFonts w:cs="Times New Roman"/>
          <w:b/>
          <w:szCs w:val="24"/>
        </w:rPr>
        <w:t xml:space="preserve"> Targets</w:t>
      </w:r>
    </w:p>
    <w:tbl>
      <w:tblPr>
        <w:tblStyle w:val="TableGrid"/>
        <w:tblW w:w="9738" w:type="dxa"/>
        <w:tblLook w:val="04A0" w:firstRow="1" w:lastRow="0" w:firstColumn="1" w:lastColumn="0" w:noHBand="0" w:noVBand="1"/>
        <w:tblCaption w:val="Proposed Chronic Absenteeism Targets"/>
        <w:tblDescription w:val="This table provides the proposed chronic absenteeism targets. The targets begin in accountability year 2019-2020 and end with a long term goal of 10 percent or fewer students chronically absent in accountability year 2024-2025."/>
      </w:tblPr>
      <w:tblGrid>
        <w:gridCol w:w="1738"/>
        <w:gridCol w:w="1157"/>
        <w:gridCol w:w="1129"/>
        <w:gridCol w:w="1129"/>
        <w:gridCol w:w="1129"/>
        <w:gridCol w:w="1129"/>
        <w:gridCol w:w="1129"/>
        <w:gridCol w:w="1198"/>
      </w:tblGrid>
      <w:tr w:rsidR="00797C12" w:rsidRPr="003140BC" w:rsidTr="00C33BDB">
        <w:trPr>
          <w:tblHeader/>
        </w:trPr>
        <w:tc>
          <w:tcPr>
            <w:tcW w:w="1738" w:type="dxa"/>
          </w:tcPr>
          <w:p w:rsidR="00797C12" w:rsidRPr="003140BC" w:rsidRDefault="00797C12" w:rsidP="00C33BDB">
            <w:pPr>
              <w:contextualSpacing/>
              <w:rPr>
                <w:rFonts w:cs="Times New Roman"/>
                <w:szCs w:val="24"/>
              </w:rPr>
            </w:pPr>
          </w:p>
        </w:tc>
        <w:tc>
          <w:tcPr>
            <w:tcW w:w="1157" w:type="dxa"/>
          </w:tcPr>
          <w:p w:rsidR="00797C12" w:rsidRPr="003140BC" w:rsidRDefault="00797C12" w:rsidP="00C33BDB">
            <w:pPr>
              <w:contextualSpacing/>
              <w:jc w:val="center"/>
              <w:rPr>
                <w:rFonts w:cs="Times New Roman"/>
                <w:b/>
                <w:szCs w:val="24"/>
              </w:rPr>
            </w:pPr>
            <w:r w:rsidRPr="003140BC">
              <w:rPr>
                <w:rFonts w:cs="Times New Roman"/>
                <w:b/>
                <w:szCs w:val="24"/>
              </w:rPr>
              <w:t>Baseline</w:t>
            </w:r>
          </w:p>
        </w:tc>
        <w:tc>
          <w:tcPr>
            <w:tcW w:w="1129" w:type="dxa"/>
          </w:tcPr>
          <w:p w:rsidR="00797C12" w:rsidRPr="003140BC" w:rsidRDefault="00797C12" w:rsidP="00C33BDB">
            <w:pPr>
              <w:contextualSpacing/>
              <w:jc w:val="center"/>
              <w:rPr>
                <w:rFonts w:cs="Times New Roman"/>
                <w:b/>
                <w:szCs w:val="24"/>
              </w:rPr>
            </w:pPr>
            <w:r w:rsidRPr="003140BC">
              <w:rPr>
                <w:rFonts w:cs="Times New Roman"/>
                <w:b/>
                <w:szCs w:val="24"/>
              </w:rPr>
              <w:t>Year 2 Targets</w:t>
            </w:r>
          </w:p>
        </w:tc>
        <w:tc>
          <w:tcPr>
            <w:tcW w:w="1129" w:type="dxa"/>
          </w:tcPr>
          <w:p w:rsidR="00797C12" w:rsidRPr="003140BC" w:rsidRDefault="00797C12" w:rsidP="00C33BDB">
            <w:pPr>
              <w:contextualSpacing/>
              <w:jc w:val="center"/>
              <w:rPr>
                <w:rFonts w:cs="Times New Roman"/>
                <w:b/>
                <w:szCs w:val="24"/>
              </w:rPr>
            </w:pPr>
            <w:r w:rsidRPr="003140BC">
              <w:rPr>
                <w:rFonts w:cs="Times New Roman"/>
                <w:b/>
                <w:szCs w:val="24"/>
              </w:rPr>
              <w:t>Year 3 Targets</w:t>
            </w:r>
          </w:p>
        </w:tc>
        <w:tc>
          <w:tcPr>
            <w:tcW w:w="1129" w:type="dxa"/>
          </w:tcPr>
          <w:p w:rsidR="00797C12" w:rsidRPr="003140BC" w:rsidRDefault="00797C12" w:rsidP="00C33BDB">
            <w:pPr>
              <w:contextualSpacing/>
              <w:jc w:val="center"/>
              <w:rPr>
                <w:rFonts w:cs="Times New Roman"/>
                <w:b/>
                <w:szCs w:val="24"/>
              </w:rPr>
            </w:pPr>
            <w:r w:rsidRPr="003140BC">
              <w:rPr>
                <w:rFonts w:cs="Times New Roman"/>
                <w:b/>
                <w:szCs w:val="24"/>
              </w:rPr>
              <w:t>Year 4 Targets</w:t>
            </w:r>
          </w:p>
        </w:tc>
        <w:tc>
          <w:tcPr>
            <w:tcW w:w="1129" w:type="dxa"/>
          </w:tcPr>
          <w:p w:rsidR="00797C12" w:rsidRPr="003140BC" w:rsidRDefault="00797C12" w:rsidP="00C33BDB">
            <w:pPr>
              <w:contextualSpacing/>
              <w:jc w:val="center"/>
              <w:rPr>
                <w:rFonts w:cs="Times New Roman"/>
                <w:b/>
                <w:szCs w:val="24"/>
              </w:rPr>
            </w:pPr>
            <w:r w:rsidRPr="003140BC">
              <w:rPr>
                <w:rFonts w:cs="Times New Roman"/>
                <w:b/>
                <w:szCs w:val="24"/>
              </w:rPr>
              <w:t>Year 5 Targets</w:t>
            </w:r>
          </w:p>
        </w:tc>
        <w:tc>
          <w:tcPr>
            <w:tcW w:w="1129" w:type="dxa"/>
          </w:tcPr>
          <w:p w:rsidR="00797C12" w:rsidRPr="003140BC" w:rsidRDefault="00797C12" w:rsidP="00C33BDB">
            <w:pPr>
              <w:contextualSpacing/>
              <w:jc w:val="center"/>
              <w:rPr>
                <w:rFonts w:cs="Times New Roman"/>
                <w:b/>
                <w:szCs w:val="24"/>
              </w:rPr>
            </w:pPr>
            <w:r w:rsidRPr="003140BC">
              <w:rPr>
                <w:rFonts w:cs="Times New Roman"/>
                <w:b/>
                <w:szCs w:val="24"/>
              </w:rPr>
              <w:t>Year 6 Targets</w:t>
            </w:r>
          </w:p>
        </w:tc>
        <w:tc>
          <w:tcPr>
            <w:tcW w:w="1198" w:type="dxa"/>
          </w:tcPr>
          <w:p w:rsidR="00797C12" w:rsidRDefault="00797C12" w:rsidP="00C33BDB">
            <w:pPr>
              <w:contextualSpacing/>
              <w:jc w:val="center"/>
              <w:rPr>
                <w:rFonts w:cs="Times New Roman"/>
                <w:b/>
                <w:szCs w:val="24"/>
              </w:rPr>
            </w:pPr>
            <w:r w:rsidRPr="003140BC">
              <w:rPr>
                <w:rFonts w:cs="Times New Roman"/>
                <w:b/>
                <w:szCs w:val="24"/>
              </w:rPr>
              <w:t>Long Term Goal</w:t>
            </w:r>
          </w:p>
          <w:p w:rsidR="00C406EC" w:rsidRPr="003140BC" w:rsidRDefault="00C406EC" w:rsidP="00C33BDB">
            <w:pPr>
              <w:contextualSpacing/>
              <w:jc w:val="center"/>
              <w:rPr>
                <w:rFonts w:cs="Times New Roman"/>
                <w:b/>
                <w:szCs w:val="24"/>
              </w:rPr>
            </w:pPr>
          </w:p>
        </w:tc>
      </w:tr>
      <w:tr w:rsidR="00797C12" w:rsidRPr="003140BC" w:rsidTr="00C33BDB">
        <w:tc>
          <w:tcPr>
            <w:tcW w:w="1738" w:type="dxa"/>
          </w:tcPr>
          <w:p w:rsidR="00797C12" w:rsidRPr="003140BC" w:rsidRDefault="00797C12" w:rsidP="00C33BDB">
            <w:pPr>
              <w:contextualSpacing/>
              <w:rPr>
                <w:rFonts w:cs="Times New Roman"/>
                <w:b/>
                <w:szCs w:val="24"/>
              </w:rPr>
            </w:pPr>
            <w:r w:rsidRPr="003140BC">
              <w:rPr>
                <w:rFonts w:cs="Times New Roman"/>
                <w:b/>
                <w:szCs w:val="24"/>
              </w:rPr>
              <w:t>Assessment Year</w:t>
            </w:r>
          </w:p>
        </w:tc>
        <w:tc>
          <w:tcPr>
            <w:tcW w:w="1157" w:type="dxa"/>
          </w:tcPr>
          <w:p w:rsidR="00797C12" w:rsidRPr="003140BC" w:rsidRDefault="00797C12" w:rsidP="00C33BDB">
            <w:pPr>
              <w:contextualSpacing/>
              <w:jc w:val="center"/>
              <w:rPr>
                <w:rFonts w:cs="Times New Roman"/>
                <w:szCs w:val="24"/>
              </w:rPr>
            </w:pPr>
            <w:r w:rsidRPr="003140BC">
              <w:rPr>
                <w:rFonts w:cs="Times New Roman"/>
                <w:szCs w:val="24"/>
              </w:rPr>
              <w:t>2018-2019</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2018-2019</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2019-2020</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2020-2021</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2021-2022</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2022-2023</w:t>
            </w:r>
          </w:p>
        </w:tc>
        <w:tc>
          <w:tcPr>
            <w:tcW w:w="1198" w:type="dxa"/>
          </w:tcPr>
          <w:p w:rsidR="00797C12" w:rsidRPr="003140BC" w:rsidRDefault="00797C12" w:rsidP="00C33BDB">
            <w:pPr>
              <w:contextualSpacing/>
              <w:jc w:val="center"/>
              <w:rPr>
                <w:rFonts w:cs="Times New Roman"/>
                <w:szCs w:val="24"/>
              </w:rPr>
            </w:pPr>
            <w:r w:rsidRPr="003140BC">
              <w:rPr>
                <w:rFonts w:cs="Times New Roman"/>
                <w:szCs w:val="24"/>
              </w:rPr>
              <w:t>2023-2024</w:t>
            </w:r>
          </w:p>
        </w:tc>
      </w:tr>
      <w:tr w:rsidR="00797C12" w:rsidRPr="003140BC" w:rsidTr="00C33BDB">
        <w:tc>
          <w:tcPr>
            <w:tcW w:w="1738" w:type="dxa"/>
          </w:tcPr>
          <w:p w:rsidR="00797C12" w:rsidRPr="003140BC" w:rsidRDefault="00797C12" w:rsidP="00C33BDB">
            <w:pPr>
              <w:contextualSpacing/>
              <w:rPr>
                <w:rFonts w:cs="Times New Roman"/>
                <w:b/>
                <w:szCs w:val="24"/>
              </w:rPr>
            </w:pPr>
            <w:r w:rsidRPr="003140BC">
              <w:rPr>
                <w:rFonts w:cs="Times New Roman"/>
                <w:b/>
                <w:szCs w:val="24"/>
              </w:rPr>
              <w:t>Accountability Year</w:t>
            </w:r>
          </w:p>
        </w:tc>
        <w:tc>
          <w:tcPr>
            <w:tcW w:w="1157" w:type="dxa"/>
          </w:tcPr>
          <w:p w:rsidR="00797C12" w:rsidRPr="003140BC" w:rsidRDefault="00797C12" w:rsidP="00C33BDB">
            <w:pPr>
              <w:contextualSpacing/>
              <w:jc w:val="center"/>
              <w:rPr>
                <w:rFonts w:cs="Times New Roman"/>
                <w:szCs w:val="24"/>
              </w:rPr>
            </w:pP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2019-2020</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2020-2021</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2021-2022</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2022-2023</w:t>
            </w:r>
          </w:p>
        </w:tc>
        <w:tc>
          <w:tcPr>
            <w:tcW w:w="1129" w:type="dxa"/>
          </w:tcPr>
          <w:p w:rsidR="00797C12" w:rsidRPr="003140BC" w:rsidRDefault="00797C12" w:rsidP="00C33BDB">
            <w:pPr>
              <w:contextualSpacing/>
              <w:jc w:val="center"/>
              <w:rPr>
                <w:rFonts w:cs="Times New Roman"/>
                <w:szCs w:val="24"/>
              </w:rPr>
            </w:pPr>
            <w:r w:rsidRPr="003140BC">
              <w:rPr>
                <w:rFonts w:cs="Times New Roman"/>
                <w:szCs w:val="24"/>
              </w:rPr>
              <w:t>2023-2024</w:t>
            </w:r>
          </w:p>
        </w:tc>
        <w:tc>
          <w:tcPr>
            <w:tcW w:w="1198" w:type="dxa"/>
          </w:tcPr>
          <w:p w:rsidR="00797C12" w:rsidRPr="003140BC" w:rsidRDefault="00797C12" w:rsidP="00C33BDB">
            <w:pPr>
              <w:contextualSpacing/>
              <w:jc w:val="center"/>
              <w:rPr>
                <w:rFonts w:cs="Times New Roman"/>
                <w:szCs w:val="24"/>
              </w:rPr>
            </w:pPr>
            <w:r w:rsidRPr="003140BC">
              <w:rPr>
                <w:rFonts w:cs="Times New Roman"/>
                <w:szCs w:val="24"/>
              </w:rPr>
              <w:t>2024-2025</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All Students</w:t>
            </w:r>
          </w:p>
          <w:p w:rsidR="00394DAA" w:rsidRPr="003140BC" w:rsidRDefault="00394DAA" w:rsidP="00C33BDB">
            <w:pPr>
              <w:contextualSpacing/>
              <w:rPr>
                <w:rFonts w:cs="Times New Roman"/>
                <w:b/>
                <w:szCs w:val="24"/>
              </w:rPr>
            </w:pPr>
          </w:p>
        </w:tc>
        <w:tc>
          <w:tcPr>
            <w:tcW w:w="1157" w:type="dxa"/>
          </w:tcPr>
          <w:p w:rsidR="00394DAA" w:rsidRPr="005719E7" w:rsidRDefault="00394DAA" w:rsidP="00555408">
            <w:pPr>
              <w:contextualSpacing/>
              <w:jc w:val="center"/>
              <w:rPr>
                <w:rFonts w:cs="Times New Roman"/>
                <w:szCs w:val="24"/>
              </w:rPr>
            </w:pPr>
            <w:r w:rsidRPr="005719E7">
              <w:rPr>
                <w:rFonts w:cs="Times New Roman"/>
                <w:szCs w:val="24"/>
              </w:rPr>
              <w:t>75</w:t>
            </w:r>
          </w:p>
        </w:tc>
        <w:tc>
          <w:tcPr>
            <w:tcW w:w="1129" w:type="dxa"/>
          </w:tcPr>
          <w:p w:rsidR="00394DAA" w:rsidRDefault="00394DAA" w:rsidP="00555408">
            <w:pPr>
              <w:jc w:val="center"/>
              <w:rPr>
                <w:rFonts w:cs="Times New Roman"/>
                <w:strike/>
                <w:szCs w:val="24"/>
              </w:rPr>
            </w:pPr>
            <w:r w:rsidRPr="005719E7">
              <w:rPr>
                <w:rFonts w:cs="Times New Roman"/>
                <w:strike/>
                <w:szCs w:val="24"/>
              </w:rPr>
              <w:t>74</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75</w:t>
            </w:r>
          </w:p>
        </w:tc>
        <w:tc>
          <w:tcPr>
            <w:tcW w:w="1129" w:type="dxa"/>
          </w:tcPr>
          <w:p w:rsidR="00394DAA" w:rsidRDefault="00394DAA" w:rsidP="00555408">
            <w:pPr>
              <w:jc w:val="center"/>
              <w:rPr>
                <w:rFonts w:cs="Times New Roman"/>
                <w:strike/>
                <w:szCs w:val="24"/>
              </w:rPr>
            </w:pPr>
            <w:r w:rsidRPr="005719E7">
              <w:rPr>
                <w:rFonts w:cs="Times New Roman"/>
                <w:strike/>
                <w:szCs w:val="24"/>
              </w:rPr>
              <w:t>74</w:t>
            </w:r>
            <w:r>
              <w:rPr>
                <w:rFonts w:cs="Times New Roman"/>
                <w:strike/>
                <w:szCs w:val="24"/>
              </w:rPr>
              <w:t>*</w:t>
            </w:r>
          </w:p>
          <w:p w:rsidR="00394DAA" w:rsidRPr="00BA0E76" w:rsidRDefault="00394DAA" w:rsidP="00555408">
            <w:pPr>
              <w:jc w:val="center"/>
              <w:rPr>
                <w:rFonts w:cs="Times New Roman"/>
                <w:strike/>
                <w:szCs w:val="24"/>
                <w:u w:val="single"/>
              </w:rPr>
            </w:pPr>
            <w:r>
              <w:rPr>
                <w:rFonts w:cs="Times New Roman"/>
                <w:szCs w:val="24"/>
                <w:u w:val="single"/>
              </w:rPr>
              <w:t>75*</w:t>
            </w:r>
          </w:p>
        </w:tc>
        <w:tc>
          <w:tcPr>
            <w:tcW w:w="1129" w:type="dxa"/>
          </w:tcPr>
          <w:p w:rsidR="00394DAA" w:rsidRDefault="00394DAA" w:rsidP="00555408">
            <w:pPr>
              <w:jc w:val="center"/>
              <w:rPr>
                <w:rFonts w:cs="Times New Roman"/>
                <w:strike/>
                <w:szCs w:val="24"/>
              </w:rPr>
            </w:pPr>
            <w:r w:rsidRPr="005719E7">
              <w:rPr>
                <w:rFonts w:cs="Times New Roman"/>
                <w:strike/>
                <w:szCs w:val="24"/>
              </w:rPr>
              <w:t>74</w:t>
            </w:r>
            <w:r>
              <w:rPr>
                <w:rFonts w:cs="Times New Roman"/>
                <w:strike/>
                <w:szCs w:val="24"/>
              </w:rPr>
              <w:t>*</w:t>
            </w:r>
          </w:p>
          <w:p w:rsidR="00394DAA" w:rsidRPr="00BA0E76" w:rsidRDefault="00394DAA" w:rsidP="00555408">
            <w:pPr>
              <w:jc w:val="center"/>
              <w:rPr>
                <w:rFonts w:cs="Times New Roman"/>
                <w:strike/>
                <w:szCs w:val="24"/>
                <w:u w:val="single"/>
              </w:rPr>
            </w:pPr>
            <w:r>
              <w:rPr>
                <w:rFonts w:cs="Times New Roman"/>
                <w:szCs w:val="24"/>
                <w:u w:val="single"/>
              </w:rPr>
              <w:t>75*</w:t>
            </w:r>
          </w:p>
        </w:tc>
        <w:tc>
          <w:tcPr>
            <w:tcW w:w="1129" w:type="dxa"/>
          </w:tcPr>
          <w:p w:rsidR="00394DAA" w:rsidRDefault="00394DAA" w:rsidP="00555408">
            <w:pPr>
              <w:jc w:val="center"/>
              <w:rPr>
                <w:rFonts w:cs="Times New Roman"/>
                <w:strike/>
                <w:szCs w:val="24"/>
              </w:rPr>
            </w:pPr>
            <w:r w:rsidRPr="005719E7">
              <w:rPr>
                <w:rFonts w:cs="Times New Roman"/>
                <w:strike/>
                <w:szCs w:val="24"/>
              </w:rPr>
              <w:t>74</w:t>
            </w:r>
            <w:r>
              <w:rPr>
                <w:rFonts w:cs="Times New Roman"/>
                <w:strike/>
                <w:szCs w:val="24"/>
              </w:rPr>
              <w:t>*</w:t>
            </w:r>
          </w:p>
          <w:p w:rsidR="00394DAA" w:rsidRPr="00BA0E76" w:rsidRDefault="00394DAA" w:rsidP="00555408">
            <w:pPr>
              <w:jc w:val="center"/>
              <w:rPr>
                <w:rFonts w:cs="Times New Roman"/>
                <w:strike/>
                <w:szCs w:val="24"/>
                <w:u w:val="single"/>
              </w:rPr>
            </w:pPr>
            <w:r>
              <w:rPr>
                <w:rFonts w:cs="Times New Roman"/>
                <w:szCs w:val="24"/>
                <w:u w:val="single"/>
              </w:rPr>
              <w:t>75*</w:t>
            </w:r>
          </w:p>
        </w:tc>
        <w:tc>
          <w:tcPr>
            <w:tcW w:w="1129" w:type="dxa"/>
          </w:tcPr>
          <w:p w:rsidR="00394DAA" w:rsidRDefault="00394DAA" w:rsidP="00555408">
            <w:pPr>
              <w:jc w:val="center"/>
              <w:rPr>
                <w:rFonts w:cs="Times New Roman"/>
                <w:strike/>
                <w:szCs w:val="24"/>
              </w:rPr>
            </w:pPr>
            <w:r w:rsidRPr="005719E7">
              <w:rPr>
                <w:rFonts w:cs="Times New Roman"/>
                <w:strike/>
                <w:szCs w:val="24"/>
              </w:rPr>
              <w:t>74</w:t>
            </w:r>
            <w:r>
              <w:rPr>
                <w:rFonts w:cs="Times New Roman"/>
                <w:strike/>
                <w:szCs w:val="24"/>
              </w:rPr>
              <w:t>*</w:t>
            </w:r>
          </w:p>
          <w:p w:rsidR="00394DAA" w:rsidRPr="00BA0E76" w:rsidRDefault="00394DAA" w:rsidP="00555408">
            <w:pPr>
              <w:jc w:val="center"/>
              <w:rPr>
                <w:rFonts w:cs="Times New Roman"/>
                <w:strike/>
                <w:szCs w:val="24"/>
                <w:u w:val="single"/>
              </w:rPr>
            </w:pPr>
            <w:r>
              <w:rPr>
                <w:rFonts w:cs="Times New Roman"/>
                <w:szCs w:val="24"/>
                <w:u w:val="single"/>
              </w:rPr>
              <w:t>75*</w:t>
            </w:r>
          </w:p>
        </w:tc>
        <w:tc>
          <w:tcPr>
            <w:tcW w:w="1198" w:type="dxa"/>
          </w:tcPr>
          <w:p w:rsidR="00394DAA" w:rsidRPr="003140BC" w:rsidRDefault="00394DAA" w:rsidP="00C33BDB">
            <w:pPr>
              <w:contextualSpacing/>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Asian Students</w:t>
            </w:r>
          </w:p>
        </w:tc>
        <w:tc>
          <w:tcPr>
            <w:tcW w:w="1157" w:type="dxa"/>
          </w:tcPr>
          <w:p w:rsidR="00394DAA" w:rsidRPr="005719E7" w:rsidRDefault="00394DAA" w:rsidP="00555408">
            <w:pPr>
              <w:contextualSpacing/>
              <w:jc w:val="center"/>
              <w:rPr>
                <w:rFonts w:cs="Times New Roman"/>
                <w:szCs w:val="24"/>
              </w:rPr>
            </w:pPr>
            <w:r w:rsidRPr="005719E7">
              <w:rPr>
                <w:rFonts w:cs="Times New Roman"/>
                <w:szCs w:val="24"/>
              </w:rPr>
              <w:t>91</w:t>
            </w:r>
          </w:p>
        </w:tc>
        <w:tc>
          <w:tcPr>
            <w:tcW w:w="1129" w:type="dxa"/>
          </w:tcPr>
          <w:p w:rsidR="00394DAA" w:rsidRDefault="00394DAA" w:rsidP="00555408">
            <w:pPr>
              <w:jc w:val="center"/>
              <w:rPr>
                <w:rFonts w:cs="Times New Roman"/>
                <w:strike/>
                <w:szCs w:val="24"/>
              </w:rPr>
            </w:pPr>
            <w:r w:rsidRPr="005719E7">
              <w:rPr>
                <w:rFonts w:cs="Times New Roman"/>
                <w:strike/>
                <w:szCs w:val="24"/>
              </w:rPr>
              <w:t>89</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91</w:t>
            </w:r>
          </w:p>
        </w:tc>
        <w:tc>
          <w:tcPr>
            <w:tcW w:w="1129" w:type="dxa"/>
          </w:tcPr>
          <w:p w:rsidR="00394DAA" w:rsidRDefault="00394DAA" w:rsidP="00555408">
            <w:pPr>
              <w:jc w:val="center"/>
              <w:rPr>
                <w:rFonts w:cs="Times New Roman"/>
                <w:strike/>
                <w:szCs w:val="24"/>
              </w:rPr>
            </w:pPr>
            <w:r w:rsidRPr="005719E7">
              <w:rPr>
                <w:rFonts w:cs="Times New Roman"/>
                <w:strike/>
                <w:szCs w:val="24"/>
              </w:rPr>
              <w:t>89</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91</w:t>
            </w:r>
            <w:r>
              <w:rPr>
                <w:rFonts w:cs="Times New Roman"/>
                <w:szCs w:val="24"/>
                <w:u w:val="single"/>
              </w:rPr>
              <w:t>*</w:t>
            </w:r>
          </w:p>
        </w:tc>
        <w:tc>
          <w:tcPr>
            <w:tcW w:w="1129" w:type="dxa"/>
          </w:tcPr>
          <w:p w:rsidR="00394DAA" w:rsidRDefault="00394DAA" w:rsidP="00555408">
            <w:pPr>
              <w:jc w:val="center"/>
              <w:rPr>
                <w:rFonts w:cs="Times New Roman"/>
                <w:strike/>
                <w:szCs w:val="24"/>
              </w:rPr>
            </w:pPr>
            <w:r w:rsidRPr="005719E7">
              <w:rPr>
                <w:rFonts w:cs="Times New Roman"/>
                <w:strike/>
                <w:szCs w:val="24"/>
              </w:rPr>
              <w:t>89</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91</w:t>
            </w:r>
            <w:r>
              <w:rPr>
                <w:rFonts w:cs="Times New Roman"/>
                <w:szCs w:val="24"/>
                <w:u w:val="single"/>
              </w:rPr>
              <w:t>*</w:t>
            </w:r>
          </w:p>
        </w:tc>
        <w:tc>
          <w:tcPr>
            <w:tcW w:w="1129" w:type="dxa"/>
          </w:tcPr>
          <w:p w:rsidR="00394DAA" w:rsidRDefault="00394DAA" w:rsidP="00555408">
            <w:pPr>
              <w:jc w:val="center"/>
              <w:rPr>
                <w:rFonts w:cs="Times New Roman"/>
                <w:strike/>
                <w:szCs w:val="24"/>
              </w:rPr>
            </w:pPr>
            <w:r w:rsidRPr="005719E7">
              <w:rPr>
                <w:rFonts w:cs="Times New Roman"/>
                <w:strike/>
                <w:szCs w:val="24"/>
              </w:rPr>
              <w:t>89</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91</w:t>
            </w:r>
            <w:r>
              <w:rPr>
                <w:rFonts w:cs="Times New Roman"/>
                <w:szCs w:val="24"/>
                <w:u w:val="single"/>
              </w:rPr>
              <w:t>*</w:t>
            </w:r>
          </w:p>
        </w:tc>
        <w:tc>
          <w:tcPr>
            <w:tcW w:w="1129" w:type="dxa"/>
          </w:tcPr>
          <w:p w:rsidR="00394DAA" w:rsidRDefault="00394DAA" w:rsidP="00555408">
            <w:pPr>
              <w:jc w:val="center"/>
              <w:rPr>
                <w:rFonts w:cs="Times New Roman"/>
                <w:strike/>
                <w:szCs w:val="24"/>
              </w:rPr>
            </w:pPr>
            <w:r w:rsidRPr="005719E7">
              <w:rPr>
                <w:rFonts w:cs="Times New Roman"/>
                <w:strike/>
                <w:szCs w:val="24"/>
              </w:rPr>
              <w:t>89</w:t>
            </w:r>
            <w:r>
              <w:rPr>
                <w:rFonts w:cs="Times New Roman"/>
                <w:strike/>
                <w:szCs w:val="24"/>
              </w:rPr>
              <w:t>*</w:t>
            </w:r>
          </w:p>
          <w:p w:rsidR="00394DAA" w:rsidRPr="00BA0E76" w:rsidRDefault="00394DAA" w:rsidP="00555408">
            <w:pPr>
              <w:jc w:val="center"/>
              <w:rPr>
                <w:rFonts w:cs="Times New Roman"/>
                <w:szCs w:val="24"/>
                <w:u w:val="single"/>
              </w:rPr>
            </w:pPr>
            <w:r w:rsidRPr="00BA0E76">
              <w:rPr>
                <w:rFonts w:cs="Times New Roman"/>
                <w:szCs w:val="24"/>
                <w:u w:val="single"/>
              </w:rPr>
              <w:t>91</w:t>
            </w:r>
            <w:r>
              <w:rPr>
                <w:rFonts w:cs="Times New Roman"/>
                <w:szCs w:val="24"/>
                <w:u w:val="single"/>
              </w:rPr>
              <w:t>*</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lastRenderedPageBreak/>
              <w:t>Black Students</w:t>
            </w:r>
          </w:p>
        </w:tc>
        <w:tc>
          <w:tcPr>
            <w:tcW w:w="1157" w:type="dxa"/>
          </w:tcPr>
          <w:p w:rsidR="00394DAA" w:rsidRPr="005719E7" w:rsidRDefault="00394DAA" w:rsidP="00555408">
            <w:pPr>
              <w:jc w:val="center"/>
            </w:pPr>
            <w:r w:rsidRPr="005719E7">
              <w:t>60</w:t>
            </w:r>
          </w:p>
        </w:tc>
        <w:tc>
          <w:tcPr>
            <w:tcW w:w="1129" w:type="dxa"/>
          </w:tcPr>
          <w:p w:rsidR="00394DAA" w:rsidRDefault="00394DAA" w:rsidP="00555408">
            <w:pPr>
              <w:jc w:val="center"/>
              <w:rPr>
                <w:rFonts w:cs="Times New Roman"/>
                <w:strike/>
                <w:szCs w:val="24"/>
              </w:rPr>
            </w:pPr>
            <w:r w:rsidRPr="005719E7">
              <w:rPr>
                <w:rFonts w:cs="Times New Roman"/>
                <w:strike/>
                <w:szCs w:val="24"/>
              </w:rPr>
              <w:t>62</w:t>
            </w:r>
          </w:p>
          <w:p w:rsidR="00394DAA" w:rsidRPr="00BA0E76" w:rsidRDefault="00394DAA" w:rsidP="00555408">
            <w:pPr>
              <w:jc w:val="center"/>
              <w:rPr>
                <w:rFonts w:cs="Times New Roman"/>
                <w:szCs w:val="24"/>
                <w:u w:val="single"/>
              </w:rPr>
            </w:pPr>
            <w:r w:rsidRPr="00BA0E76">
              <w:rPr>
                <w:rFonts w:cs="Times New Roman"/>
                <w:szCs w:val="24"/>
                <w:u w:val="single"/>
              </w:rPr>
              <w:t>60</w:t>
            </w:r>
          </w:p>
        </w:tc>
        <w:tc>
          <w:tcPr>
            <w:tcW w:w="1129" w:type="dxa"/>
          </w:tcPr>
          <w:p w:rsidR="00394DAA" w:rsidRDefault="00394DAA" w:rsidP="00555408">
            <w:pPr>
              <w:jc w:val="center"/>
              <w:rPr>
                <w:rFonts w:cs="Times New Roman"/>
                <w:strike/>
                <w:szCs w:val="24"/>
              </w:rPr>
            </w:pPr>
            <w:r w:rsidRPr="005719E7">
              <w:rPr>
                <w:rFonts w:cs="Times New Roman"/>
                <w:strike/>
                <w:szCs w:val="24"/>
              </w:rPr>
              <w:t>63</w:t>
            </w:r>
          </w:p>
          <w:p w:rsidR="00394DAA" w:rsidRPr="00BA0E76" w:rsidRDefault="00394DAA" w:rsidP="00555408">
            <w:pPr>
              <w:jc w:val="center"/>
              <w:rPr>
                <w:rFonts w:cs="Times New Roman"/>
                <w:szCs w:val="24"/>
                <w:u w:val="single"/>
              </w:rPr>
            </w:pPr>
            <w:r w:rsidRPr="00BA0E76">
              <w:rPr>
                <w:rFonts w:cs="Times New Roman"/>
                <w:szCs w:val="24"/>
                <w:u w:val="single"/>
              </w:rPr>
              <w:t>62</w:t>
            </w:r>
          </w:p>
        </w:tc>
        <w:tc>
          <w:tcPr>
            <w:tcW w:w="1129" w:type="dxa"/>
          </w:tcPr>
          <w:p w:rsidR="00394DAA" w:rsidRPr="005378CB" w:rsidRDefault="00394DAA" w:rsidP="00555408">
            <w:pPr>
              <w:jc w:val="center"/>
              <w:rPr>
                <w:rFonts w:cs="Times New Roman"/>
                <w:strike/>
                <w:szCs w:val="24"/>
              </w:rPr>
            </w:pPr>
            <w:r w:rsidRPr="005378CB">
              <w:rPr>
                <w:rFonts w:cs="Times New Roman"/>
                <w:strike/>
                <w:szCs w:val="24"/>
              </w:rPr>
              <w:t>65</w:t>
            </w:r>
          </w:p>
          <w:p w:rsidR="00394DAA" w:rsidRPr="00C406EC" w:rsidRDefault="00394DAA" w:rsidP="00C406EC">
            <w:pPr>
              <w:jc w:val="center"/>
              <w:rPr>
                <w:rFonts w:cs="Times New Roman"/>
                <w:szCs w:val="24"/>
                <w:u w:val="single"/>
              </w:rPr>
            </w:pPr>
            <w:r w:rsidRPr="005378CB">
              <w:rPr>
                <w:rFonts w:cs="Times New Roman"/>
                <w:szCs w:val="24"/>
                <w:u w:val="single"/>
              </w:rPr>
              <w:t>64</w:t>
            </w:r>
          </w:p>
        </w:tc>
        <w:tc>
          <w:tcPr>
            <w:tcW w:w="1129" w:type="dxa"/>
          </w:tcPr>
          <w:p w:rsidR="00394DAA" w:rsidRPr="005719E7" w:rsidRDefault="00394DAA" w:rsidP="00555408">
            <w:pPr>
              <w:jc w:val="center"/>
              <w:rPr>
                <w:rFonts w:cs="Times New Roman"/>
                <w:szCs w:val="24"/>
              </w:rPr>
            </w:pPr>
            <w:r w:rsidRPr="005719E7">
              <w:rPr>
                <w:rFonts w:cs="Times New Roman"/>
                <w:szCs w:val="24"/>
              </w:rPr>
              <w:t>66</w:t>
            </w:r>
          </w:p>
        </w:tc>
        <w:tc>
          <w:tcPr>
            <w:tcW w:w="1129" w:type="dxa"/>
          </w:tcPr>
          <w:p w:rsidR="00394DAA" w:rsidRPr="005719E7" w:rsidRDefault="00394DAA" w:rsidP="00555408">
            <w:pPr>
              <w:jc w:val="center"/>
              <w:rPr>
                <w:rFonts w:cs="Times New Roman"/>
                <w:szCs w:val="24"/>
              </w:rPr>
            </w:pPr>
            <w:r w:rsidRPr="005719E7">
              <w:rPr>
                <w:rFonts w:cs="Times New Roman"/>
                <w:szCs w:val="24"/>
              </w:rPr>
              <w:t>68</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Economically Disadvantaged Students</w:t>
            </w:r>
          </w:p>
        </w:tc>
        <w:tc>
          <w:tcPr>
            <w:tcW w:w="1157" w:type="dxa"/>
          </w:tcPr>
          <w:p w:rsidR="00394DAA" w:rsidRPr="005719E7" w:rsidRDefault="00394DAA" w:rsidP="00555408">
            <w:pPr>
              <w:jc w:val="center"/>
            </w:pPr>
            <w:r w:rsidRPr="005719E7">
              <w:t>63</w:t>
            </w:r>
          </w:p>
        </w:tc>
        <w:tc>
          <w:tcPr>
            <w:tcW w:w="1129" w:type="dxa"/>
          </w:tcPr>
          <w:p w:rsidR="00394DAA" w:rsidRDefault="00394DAA" w:rsidP="00555408">
            <w:pPr>
              <w:jc w:val="center"/>
              <w:rPr>
                <w:rFonts w:cs="Times New Roman"/>
                <w:strike/>
                <w:szCs w:val="24"/>
              </w:rPr>
            </w:pPr>
            <w:r w:rsidRPr="005719E7">
              <w:rPr>
                <w:rFonts w:cs="Times New Roman"/>
                <w:strike/>
                <w:szCs w:val="24"/>
              </w:rPr>
              <w:t>64</w:t>
            </w:r>
          </w:p>
          <w:p w:rsidR="00394DAA" w:rsidRPr="00BA0E76" w:rsidRDefault="00394DAA" w:rsidP="00555408">
            <w:pPr>
              <w:jc w:val="center"/>
              <w:rPr>
                <w:rFonts w:cs="Times New Roman"/>
                <w:szCs w:val="24"/>
                <w:u w:val="single"/>
              </w:rPr>
            </w:pPr>
            <w:r w:rsidRPr="00BA0E76">
              <w:rPr>
                <w:rFonts w:cs="Times New Roman"/>
                <w:szCs w:val="24"/>
                <w:u w:val="single"/>
              </w:rPr>
              <w:t>63</w:t>
            </w:r>
          </w:p>
        </w:tc>
        <w:tc>
          <w:tcPr>
            <w:tcW w:w="1129" w:type="dxa"/>
          </w:tcPr>
          <w:p w:rsidR="00394DAA" w:rsidRDefault="00394DAA" w:rsidP="00555408">
            <w:pPr>
              <w:jc w:val="center"/>
              <w:rPr>
                <w:rFonts w:cs="Times New Roman"/>
                <w:strike/>
                <w:szCs w:val="24"/>
              </w:rPr>
            </w:pPr>
            <w:r w:rsidRPr="005719E7">
              <w:rPr>
                <w:rFonts w:cs="Times New Roman"/>
                <w:strike/>
                <w:szCs w:val="24"/>
              </w:rPr>
              <w:t>65</w:t>
            </w:r>
          </w:p>
          <w:p w:rsidR="00394DAA" w:rsidRPr="00BA0E76" w:rsidRDefault="00394DAA" w:rsidP="00555408">
            <w:pPr>
              <w:jc w:val="center"/>
              <w:rPr>
                <w:rFonts w:cs="Times New Roman"/>
                <w:szCs w:val="24"/>
                <w:u w:val="single"/>
              </w:rPr>
            </w:pPr>
            <w:r w:rsidRPr="00BA0E76">
              <w:rPr>
                <w:rFonts w:cs="Times New Roman"/>
                <w:szCs w:val="24"/>
                <w:u w:val="single"/>
              </w:rPr>
              <w:t>64</w:t>
            </w:r>
          </w:p>
        </w:tc>
        <w:tc>
          <w:tcPr>
            <w:tcW w:w="1129" w:type="dxa"/>
          </w:tcPr>
          <w:p w:rsidR="00394DAA" w:rsidRPr="005378CB" w:rsidRDefault="00394DAA" w:rsidP="00555408">
            <w:pPr>
              <w:jc w:val="center"/>
              <w:rPr>
                <w:rFonts w:cs="Times New Roman"/>
                <w:szCs w:val="24"/>
              </w:rPr>
            </w:pPr>
            <w:r w:rsidRPr="005378CB">
              <w:rPr>
                <w:rFonts w:cs="Times New Roman"/>
                <w:szCs w:val="24"/>
              </w:rPr>
              <w:t>66</w:t>
            </w:r>
          </w:p>
          <w:p w:rsidR="00394DAA" w:rsidRPr="00BA0E76" w:rsidRDefault="00394DAA" w:rsidP="00555408">
            <w:pPr>
              <w:jc w:val="center"/>
              <w:rPr>
                <w:rFonts w:cs="Times New Roman"/>
                <w:szCs w:val="24"/>
                <w:u w:val="single"/>
              </w:rPr>
            </w:pPr>
          </w:p>
        </w:tc>
        <w:tc>
          <w:tcPr>
            <w:tcW w:w="1129" w:type="dxa"/>
          </w:tcPr>
          <w:p w:rsidR="00394DAA" w:rsidRPr="005378CB" w:rsidRDefault="00394DAA" w:rsidP="00555408">
            <w:pPr>
              <w:jc w:val="center"/>
              <w:rPr>
                <w:rFonts w:cs="Times New Roman"/>
                <w:szCs w:val="24"/>
              </w:rPr>
            </w:pPr>
            <w:r w:rsidRPr="005378CB">
              <w:rPr>
                <w:rFonts w:cs="Times New Roman"/>
                <w:szCs w:val="24"/>
              </w:rPr>
              <w:t>67</w:t>
            </w:r>
          </w:p>
        </w:tc>
        <w:tc>
          <w:tcPr>
            <w:tcW w:w="1129" w:type="dxa"/>
          </w:tcPr>
          <w:p w:rsidR="00394DAA" w:rsidRPr="005719E7" w:rsidRDefault="00394DAA" w:rsidP="00555408">
            <w:pPr>
              <w:jc w:val="center"/>
              <w:rPr>
                <w:rFonts w:cs="Times New Roman"/>
                <w:szCs w:val="24"/>
              </w:rPr>
            </w:pPr>
            <w:r w:rsidRPr="005719E7">
              <w:rPr>
                <w:rFonts w:cs="Times New Roman"/>
                <w:szCs w:val="24"/>
              </w:rPr>
              <w:t>68</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English Learners</w:t>
            </w:r>
          </w:p>
        </w:tc>
        <w:tc>
          <w:tcPr>
            <w:tcW w:w="1157" w:type="dxa"/>
          </w:tcPr>
          <w:p w:rsidR="00394DAA" w:rsidRPr="005719E7" w:rsidRDefault="00394DAA" w:rsidP="00555408">
            <w:pPr>
              <w:jc w:val="center"/>
            </w:pPr>
            <w:r w:rsidRPr="005719E7">
              <w:t>61</w:t>
            </w:r>
          </w:p>
        </w:tc>
        <w:tc>
          <w:tcPr>
            <w:tcW w:w="1129" w:type="dxa"/>
          </w:tcPr>
          <w:p w:rsidR="00394DAA" w:rsidRDefault="00394DAA" w:rsidP="00555408">
            <w:pPr>
              <w:jc w:val="center"/>
              <w:rPr>
                <w:rFonts w:cs="Times New Roman"/>
                <w:strike/>
                <w:szCs w:val="24"/>
              </w:rPr>
            </w:pPr>
            <w:r w:rsidRPr="00DB77D0">
              <w:rPr>
                <w:rFonts w:cs="Times New Roman"/>
                <w:strike/>
                <w:szCs w:val="24"/>
              </w:rPr>
              <w:t>59</w:t>
            </w:r>
          </w:p>
          <w:p w:rsidR="00394DAA" w:rsidRPr="00BA0E76" w:rsidRDefault="00394DAA" w:rsidP="00555408">
            <w:pPr>
              <w:jc w:val="center"/>
              <w:rPr>
                <w:rFonts w:cs="Times New Roman"/>
                <w:szCs w:val="24"/>
                <w:u w:val="single"/>
              </w:rPr>
            </w:pPr>
            <w:r w:rsidRPr="00BA0E76">
              <w:rPr>
                <w:rFonts w:cs="Times New Roman"/>
                <w:szCs w:val="24"/>
                <w:u w:val="single"/>
              </w:rPr>
              <w:t>61</w:t>
            </w:r>
          </w:p>
        </w:tc>
        <w:tc>
          <w:tcPr>
            <w:tcW w:w="1129" w:type="dxa"/>
          </w:tcPr>
          <w:p w:rsidR="00394DAA" w:rsidRDefault="00394DAA" w:rsidP="00555408">
            <w:pPr>
              <w:jc w:val="center"/>
              <w:rPr>
                <w:rFonts w:cs="Times New Roman"/>
                <w:strike/>
                <w:szCs w:val="24"/>
              </w:rPr>
            </w:pPr>
            <w:r w:rsidRPr="00DB77D0">
              <w:rPr>
                <w:rFonts w:cs="Times New Roman"/>
                <w:strike/>
                <w:szCs w:val="24"/>
              </w:rPr>
              <w:t>61</w:t>
            </w:r>
          </w:p>
          <w:p w:rsidR="00394DAA" w:rsidRPr="00BA0E76" w:rsidRDefault="00394DAA" w:rsidP="00555408">
            <w:pPr>
              <w:jc w:val="center"/>
              <w:rPr>
                <w:rFonts w:cs="Times New Roman"/>
                <w:szCs w:val="24"/>
                <w:u w:val="single"/>
              </w:rPr>
            </w:pPr>
            <w:r w:rsidRPr="00BA0E76">
              <w:rPr>
                <w:rFonts w:cs="Times New Roman"/>
                <w:szCs w:val="24"/>
                <w:u w:val="single"/>
              </w:rPr>
              <w:t>62</w:t>
            </w:r>
          </w:p>
        </w:tc>
        <w:tc>
          <w:tcPr>
            <w:tcW w:w="1129" w:type="dxa"/>
          </w:tcPr>
          <w:p w:rsidR="00394DAA" w:rsidRDefault="00394DAA" w:rsidP="00555408">
            <w:pPr>
              <w:jc w:val="center"/>
              <w:rPr>
                <w:rFonts w:cs="Times New Roman"/>
                <w:strike/>
                <w:szCs w:val="24"/>
              </w:rPr>
            </w:pPr>
            <w:r w:rsidRPr="005378CB">
              <w:rPr>
                <w:rFonts w:cs="Times New Roman"/>
                <w:strike/>
                <w:szCs w:val="24"/>
              </w:rPr>
              <w:t>63</w:t>
            </w:r>
          </w:p>
          <w:p w:rsidR="00394DAA" w:rsidRPr="005378CB" w:rsidRDefault="00394DAA" w:rsidP="00555408">
            <w:pPr>
              <w:jc w:val="center"/>
              <w:rPr>
                <w:rFonts w:cs="Times New Roman"/>
                <w:szCs w:val="24"/>
                <w:u w:val="single"/>
              </w:rPr>
            </w:pPr>
            <w:r w:rsidRPr="005378CB">
              <w:rPr>
                <w:rFonts w:cs="Times New Roman"/>
                <w:szCs w:val="24"/>
                <w:u w:val="single"/>
              </w:rPr>
              <w:t>64</w:t>
            </w:r>
          </w:p>
        </w:tc>
        <w:tc>
          <w:tcPr>
            <w:tcW w:w="1129" w:type="dxa"/>
          </w:tcPr>
          <w:p w:rsidR="00394DAA" w:rsidRDefault="00394DAA" w:rsidP="00555408">
            <w:pPr>
              <w:jc w:val="center"/>
              <w:rPr>
                <w:rFonts w:cs="Times New Roman"/>
                <w:strike/>
                <w:szCs w:val="24"/>
              </w:rPr>
            </w:pPr>
            <w:r w:rsidRPr="005378CB">
              <w:rPr>
                <w:rFonts w:cs="Times New Roman"/>
                <w:strike/>
                <w:szCs w:val="24"/>
              </w:rPr>
              <w:t>65</w:t>
            </w:r>
          </w:p>
          <w:p w:rsidR="00394DAA" w:rsidRPr="005378CB" w:rsidRDefault="00394DAA" w:rsidP="00555408">
            <w:pPr>
              <w:jc w:val="center"/>
              <w:rPr>
                <w:rFonts w:cs="Times New Roman"/>
                <w:szCs w:val="24"/>
                <w:u w:val="single"/>
              </w:rPr>
            </w:pPr>
            <w:r>
              <w:rPr>
                <w:rFonts w:cs="Times New Roman"/>
                <w:szCs w:val="24"/>
                <w:u w:val="single"/>
              </w:rPr>
              <w:t>66</w:t>
            </w:r>
          </w:p>
        </w:tc>
        <w:tc>
          <w:tcPr>
            <w:tcW w:w="1129" w:type="dxa"/>
          </w:tcPr>
          <w:p w:rsidR="00394DAA" w:rsidRDefault="00394DAA" w:rsidP="00555408">
            <w:pPr>
              <w:jc w:val="center"/>
              <w:rPr>
                <w:rFonts w:cs="Times New Roman"/>
                <w:strike/>
                <w:szCs w:val="24"/>
              </w:rPr>
            </w:pPr>
            <w:r w:rsidRPr="005378CB">
              <w:rPr>
                <w:rFonts w:cs="Times New Roman"/>
                <w:strike/>
                <w:szCs w:val="24"/>
              </w:rPr>
              <w:t>67</w:t>
            </w:r>
          </w:p>
          <w:p w:rsidR="00394DAA" w:rsidRPr="005378CB" w:rsidRDefault="00394DAA" w:rsidP="00555408">
            <w:pPr>
              <w:jc w:val="center"/>
              <w:rPr>
                <w:rFonts w:cs="Times New Roman"/>
                <w:szCs w:val="24"/>
                <w:u w:val="single"/>
              </w:rPr>
            </w:pPr>
            <w:r>
              <w:rPr>
                <w:rFonts w:cs="Times New Roman"/>
                <w:szCs w:val="24"/>
                <w:u w:val="single"/>
              </w:rPr>
              <w:t>68</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Hispanic Students</w:t>
            </w:r>
          </w:p>
        </w:tc>
        <w:tc>
          <w:tcPr>
            <w:tcW w:w="1157" w:type="dxa"/>
          </w:tcPr>
          <w:p w:rsidR="00394DAA" w:rsidRPr="005719E7" w:rsidRDefault="00394DAA" w:rsidP="00555408">
            <w:pPr>
              <w:jc w:val="center"/>
            </w:pPr>
            <w:r w:rsidRPr="005719E7">
              <w:t>65</w:t>
            </w:r>
          </w:p>
        </w:tc>
        <w:tc>
          <w:tcPr>
            <w:tcW w:w="1129" w:type="dxa"/>
          </w:tcPr>
          <w:p w:rsidR="00394DAA" w:rsidRPr="00DB77D0" w:rsidRDefault="00394DAA" w:rsidP="00555408">
            <w:pPr>
              <w:jc w:val="center"/>
              <w:rPr>
                <w:rFonts w:cs="Times New Roman"/>
                <w:szCs w:val="24"/>
              </w:rPr>
            </w:pPr>
            <w:r w:rsidRPr="00DB77D0">
              <w:rPr>
                <w:rFonts w:cs="Times New Roman"/>
                <w:szCs w:val="24"/>
              </w:rPr>
              <w:t>65</w:t>
            </w:r>
          </w:p>
        </w:tc>
        <w:tc>
          <w:tcPr>
            <w:tcW w:w="1129" w:type="dxa"/>
          </w:tcPr>
          <w:p w:rsidR="00394DAA" w:rsidRPr="00DB77D0" w:rsidRDefault="00394DAA" w:rsidP="00555408">
            <w:pPr>
              <w:jc w:val="center"/>
              <w:rPr>
                <w:rFonts w:cs="Times New Roman"/>
                <w:szCs w:val="24"/>
              </w:rPr>
            </w:pPr>
            <w:r w:rsidRPr="00DB77D0">
              <w:rPr>
                <w:rFonts w:cs="Times New Roman"/>
                <w:szCs w:val="24"/>
              </w:rPr>
              <w:t>66</w:t>
            </w:r>
          </w:p>
        </w:tc>
        <w:tc>
          <w:tcPr>
            <w:tcW w:w="1129" w:type="dxa"/>
          </w:tcPr>
          <w:p w:rsidR="00394DAA" w:rsidRPr="00DB77D0" w:rsidRDefault="00394DAA" w:rsidP="00555408">
            <w:pPr>
              <w:jc w:val="center"/>
              <w:rPr>
                <w:rFonts w:cs="Times New Roman"/>
                <w:szCs w:val="24"/>
              </w:rPr>
            </w:pPr>
            <w:r w:rsidRPr="00DB77D0">
              <w:rPr>
                <w:rFonts w:cs="Times New Roman"/>
                <w:szCs w:val="24"/>
              </w:rPr>
              <w:t>67</w:t>
            </w:r>
          </w:p>
        </w:tc>
        <w:tc>
          <w:tcPr>
            <w:tcW w:w="1129" w:type="dxa"/>
          </w:tcPr>
          <w:p w:rsidR="00394DAA" w:rsidRPr="00DB77D0" w:rsidRDefault="00394DAA" w:rsidP="00555408">
            <w:pPr>
              <w:jc w:val="center"/>
              <w:rPr>
                <w:rFonts w:cs="Times New Roman"/>
                <w:szCs w:val="24"/>
              </w:rPr>
            </w:pPr>
            <w:r w:rsidRPr="00DB77D0">
              <w:rPr>
                <w:rFonts w:cs="Times New Roman"/>
                <w:szCs w:val="24"/>
              </w:rPr>
              <w:t>68</w:t>
            </w:r>
          </w:p>
        </w:tc>
        <w:tc>
          <w:tcPr>
            <w:tcW w:w="1129" w:type="dxa"/>
          </w:tcPr>
          <w:p w:rsidR="00394DAA" w:rsidRPr="00DB77D0" w:rsidRDefault="00394DAA" w:rsidP="00555408">
            <w:pPr>
              <w:jc w:val="center"/>
              <w:rPr>
                <w:rFonts w:cs="Times New Roman"/>
                <w:szCs w:val="24"/>
              </w:rPr>
            </w:pPr>
            <w:r w:rsidRPr="00DB77D0">
              <w:rPr>
                <w:rFonts w:cs="Times New Roman"/>
                <w:szCs w:val="24"/>
              </w:rPr>
              <w:t>69</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Students with Disabilities</w:t>
            </w:r>
          </w:p>
        </w:tc>
        <w:tc>
          <w:tcPr>
            <w:tcW w:w="1157" w:type="dxa"/>
          </w:tcPr>
          <w:p w:rsidR="00394DAA" w:rsidRPr="005719E7" w:rsidRDefault="00394DAA" w:rsidP="00555408">
            <w:pPr>
              <w:jc w:val="center"/>
            </w:pPr>
            <w:r w:rsidRPr="005719E7">
              <w:t>40</w:t>
            </w:r>
          </w:p>
        </w:tc>
        <w:tc>
          <w:tcPr>
            <w:tcW w:w="1129" w:type="dxa"/>
          </w:tcPr>
          <w:p w:rsidR="00394DAA" w:rsidRDefault="00394DAA" w:rsidP="00555408">
            <w:pPr>
              <w:jc w:val="center"/>
              <w:rPr>
                <w:rFonts w:cs="Times New Roman"/>
                <w:strike/>
                <w:szCs w:val="24"/>
              </w:rPr>
            </w:pPr>
            <w:r w:rsidRPr="005719E7">
              <w:rPr>
                <w:rFonts w:cs="Times New Roman"/>
                <w:strike/>
                <w:szCs w:val="24"/>
              </w:rPr>
              <w:t>47</w:t>
            </w:r>
          </w:p>
          <w:p w:rsidR="00394DAA" w:rsidRPr="00BA0E76" w:rsidRDefault="00394DAA" w:rsidP="00555408">
            <w:pPr>
              <w:jc w:val="center"/>
              <w:rPr>
                <w:rFonts w:cs="Times New Roman"/>
                <w:szCs w:val="24"/>
                <w:u w:val="single"/>
              </w:rPr>
            </w:pPr>
            <w:r w:rsidRPr="00BA0E76">
              <w:rPr>
                <w:rFonts w:cs="Times New Roman"/>
                <w:szCs w:val="24"/>
                <w:u w:val="single"/>
              </w:rPr>
              <w:t>40</w:t>
            </w:r>
          </w:p>
        </w:tc>
        <w:tc>
          <w:tcPr>
            <w:tcW w:w="1129" w:type="dxa"/>
          </w:tcPr>
          <w:p w:rsidR="00394DAA" w:rsidRDefault="00394DAA" w:rsidP="00555408">
            <w:pPr>
              <w:jc w:val="center"/>
              <w:rPr>
                <w:rFonts w:cs="Times New Roman"/>
                <w:strike/>
                <w:szCs w:val="24"/>
              </w:rPr>
            </w:pPr>
            <w:r w:rsidRPr="005719E7">
              <w:rPr>
                <w:rFonts w:cs="Times New Roman"/>
                <w:strike/>
                <w:szCs w:val="24"/>
              </w:rPr>
              <w:t>51</w:t>
            </w:r>
          </w:p>
          <w:p w:rsidR="00394DAA" w:rsidRPr="00BA0E76" w:rsidRDefault="00394DAA" w:rsidP="00555408">
            <w:pPr>
              <w:jc w:val="center"/>
              <w:rPr>
                <w:rFonts w:cs="Times New Roman"/>
                <w:szCs w:val="24"/>
                <w:u w:val="single"/>
              </w:rPr>
            </w:pPr>
            <w:r w:rsidRPr="00BA0E76">
              <w:rPr>
                <w:rFonts w:cs="Times New Roman"/>
                <w:szCs w:val="24"/>
                <w:u w:val="single"/>
              </w:rPr>
              <w:t>46</w:t>
            </w:r>
          </w:p>
        </w:tc>
        <w:tc>
          <w:tcPr>
            <w:tcW w:w="1129" w:type="dxa"/>
          </w:tcPr>
          <w:p w:rsidR="00394DAA" w:rsidRDefault="00394DAA" w:rsidP="00555408">
            <w:pPr>
              <w:jc w:val="center"/>
              <w:rPr>
                <w:rFonts w:cs="Times New Roman"/>
                <w:strike/>
                <w:szCs w:val="24"/>
              </w:rPr>
            </w:pPr>
            <w:r w:rsidRPr="005719E7">
              <w:rPr>
                <w:rFonts w:cs="Times New Roman"/>
                <w:strike/>
                <w:szCs w:val="24"/>
              </w:rPr>
              <w:t>56</w:t>
            </w:r>
          </w:p>
          <w:p w:rsidR="00394DAA" w:rsidRPr="00BA0E76" w:rsidRDefault="00394DAA" w:rsidP="00555408">
            <w:pPr>
              <w:jc w:val="center"/>
              <w:rPr>
                <w:rFonts w:cs="Times New Roman"/>
                <w:szCs w:val="24"/>
                <w:u w:val="single"/>
              </w:rPr>
            </w:pPr>
            <w:r w:rsidRPr="00BA0E76">
              <w:rPr>
                <w:rFonts w:cs="Times New Roman"/>
                <w:szCs w:val="24"/>
                <w:u w:val="single"/>
              </w:rPr>
              <w:t>52</w:t>
            </w:r>
          </w:p>
        </w:tc>
        <w:tc>
          <w:tcPr>
            <w:tcW w:w="1129" w:type="dxa"/>
          </w:tcPr>
          <w:p w:rsidR="00394DAA" w:rsidRDefault="00394DAA" w:rsidP="00555408">
            <w:pPr>
              <w:jc w:val="center"/>
              <w:rPr>
                <w:rFonts w:cs="Times New Roman"/>
                <w:strike/>
                <w:szCs w:val="24"/>
              </w:rPr>
            </w:pPr>
            <w:r w:rsidRPr="005719E7">
              <w:rPr>
                <w:rFonts w:cs="Times New Roman"/>
                <w:strike/>
                <w:szCs w:val="24"/>
              </w:rPr>
              <w:t>60</w:t>
            </w:r>
          </w:p>
          <w:p w:rsidR="00394DAA" w:rsidRPr="00BA0E76" w:rsidRDefault="00394DAA" w:rsidP="00555408">
            <w:pPr>
              <w:jc w:val="center"/>
              <w:rPr>
                <w:rFonts w:cs="Times New Roman"/>
                <w:szCs w:val="24"/>
                <w:u w:val="single"/>
              </w:rPr>
            </w:pPr>
            <w:r w:rsidRPr="00BA0E76">
              <w:rPr>
                <w:rFonts w:cs="Times New Roman"/>
                <w:szCs w:val="24"/>
                <w:u w:val="single"/>
              </w:rPr>
              <w:t>58</w:t>
            </w:r>
          </w:p>
        </w:tc>
        <w:tc>
          <w:tcPr>
            <w:tcW w:w="1129" w:type="dxa"/>
          </w:tcPr>
          <w:p w:rsidR="00394DAA" w:rsidRDefault="00394DAA" w:rsidP="00555408">
            <w:pPr>
              <w:jc w:val="center"/>
              <w:rPr>
                <w:rFonts w:cs="Times New Roman"/>
                <w:strike/>
                <w:szCs w:val="24"/>
              </w:rPr>
            </w:pPr>
            <w:r w:rsidRPr="005719E7">
              <w:rPr>
                <w:rFonts w:cs="Times New Roman"/>
                <w:strike/>
                <w:szCs w:val="24"/>
              </w:rPr>
              <w:t>65</w:t>
            </w:r>
          </w:p>
          <w:p w:rsidR="00394DAA" w:rsidRPr="00BA0E76" w:rsidRDefault="00394DAA" w:rsidP="00555408">
            <w:pPr>
              <w:jc w:val="center"/>
              <w:rPr>
                <w:rFonts w:cs="Times New Roman"/>
                <w:szCs w:val="24"/>
                <w:u w:val="single"/>
              </w:rPr>
            </w:pPr>
            <w:r w:rsidRPr="00BA0E76">
              <w:rPr>
                <w:rFonts w:cs="Times New Roman"/>
                <w:szCs w:val="24"/>
                <w:u w:val="single"/>
              </w:rPr>
              <w:t>64</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r w:rsidR="00394DAA" w:rsidRPr="003140BC" w:rsidTr="00C406EC">
        <w:tc>
          <w:tcPr>
            <w:tcW w:w="1738" w:type="dxa"/>
          </w:tcPr>
          <w:p w:rsidR="00394DAA" w:rsidRPr="003140BC" w:rsidRDefault="00394DAA" w:rsidP="00C33BDB">
            <w:pPr>
              <w:contextualSpacing/>
              <w:rPr>
                <w:rFonts w:cs="Times New Roman"/>
                <w:b/>
                <w:szCs w:val="24"/>
              </w:rPr>
            </w:pPr>
            <w:r w:rsidRPr="003140BC">
              <w:rPr>
                <w:rFonts w:cs="Times New Roman"/>
                <w:b/>
                <w:szCs w:val="24"/>
              </w:rPr>
              <w:t>White Students</w:t>
            </w:r>
          </w:p>
        </w:tc>
        <w:tc>
          <w:tcPr>
            <w:tcW w:w="1157" w:type="dxa"/>
          </w:tcPr>
          <w:p w:rsidR="00394DAA" w:rsidRPr="005719E7" w:rsidRDefault="00394DAA" w:rsidP="00555408">
            <w:pPr>
              <w:jc w:val="center"/>
            </w:pPr>
            <w:r w:rsidRPr="005719E7">
              <w:t>83</w:t>
            </w:r>
          </w:p>
        </w:tc>
        <w:tc>
          <w:tcPr>
            <w:tcW w:w="1129" w:type="dxa"/>
          </w:tcPr>
          <w:p w:rsidR="00394DAA" w:rsidRPr="005719E7" w:rsidRDefault="00394DAA" w:rsidP="00555408">
            <w:pPr>
              <w:jc w:val="center"/>
              <w:rPr>
                <w:rFonts w:cs="Times New Roman"/>
                <w:strike/>
                <w:szCs w:val="24"/>
              </w:rPr>
            </w:pPr>
            <w:r>
              <w:rPr>
                <w:rFonts w:cs="Times New Roman"/>
                <w:strike/>
                <w:szCs w:val="24"/>
              </w:rPr>
              <w:t>81*</w:t>
            </w:r>
          </w:p>
          <w:p w:rsidR="00394DAA" w:rsidRPr="00BA0E76" w:rsidRDefault="00394DAA" w:rsidP="00555408">
            <w:pPr>
              <w:jc w:val="center"/>
              <w:rPr>
                <w:rFonts w:cs="Times New Roman"/>
                <w:szCs w:val="24"/>
                <w:u w:val="single"/>
              </w:rPr>
            </w:pPr>
            <w:r w:rsidRPr="00BA0E76">
              <w:rPr>
                <w:rFonts w:cs="Times New Roman"/>
                <w:szCs w:val="24"/>
                <w:u w:val="single"/>
              </w:rPr>
              <w:t>83</w:t>
            </w:r>
          </w:p>
        </w:tc>
        <w:tc>
          <w:tcPr>
            <w:tcW w:w="1129" w:type="dxa"/>
          </w:tcPr>
          <w:p w:rsidR="00394DAA" w:rsidRPr="005719E7" w:rsidRDefault="00394DAA" w:rsidP="00555408">
            <w:pPr>
              <w:jc w:val="center"/>
              <w:rPr>
                <w:rFonts w:cs="Times New Roman"/>
                <w:strike/>
                <w:szCs w:val="24"/>
              </w:rPr>
            </w:pPr>
            <w:r>
              <w:rPr>
                <w:rFonts w:cs="Times New Roman"/>
                <w:strike/>
                <w:szCs w:val="24"/>
              </w:rPr>
              <w:t>81*</w:t>
            </w:r>
          </w:p>
          <w:p w:rsidR="00394DAA" w:rsidRPr="00BA0E76" w:rsidRDefault="00394DAA" w:rsidP="00555408">
            <w:pPr>
              <w:jc w:val="center"/>
              <w:rPr>
                <w:rFonts w:cs="Times New Roman"/>
                <w:szCs w:val="24"/>
                <w:u w:val="single"/>
              </w:rPr>
            </w:pPr>
            <w:r>
              <w:rPr>
                <w:rFonts w:cs="Times New Roman"/>
                <w:szCs w:val="24"/>
                <w:u w:val="single"/>
              </w:rPr>
              <w:t>83*</w:t>
            </w:r>
          </w:p>
        </w:tc>
        <w:tc>
          <w:tcPr>
            <w:tcW w:w="1129" w:type="dxa"/>
          </w:tcPr>
          <w:p w:rsidR="00394DAA" w:rsidRPr="005719E7" w:rsidRDefault="00394DAA" w:rsidP="00555408">
            <w:pPr>
              <w:jc w:val="center"/>
              <w:rPr>
                <w:rFonts w:cs="Times New Roman"/>
                <w:strike/>
                <w:szCs w:val="24"/>
              </w:rPr>
            </w:pPr>
            <w:r>
              <w:rPr>
                <w:rFonts w:cs="Times New Roman"/>
                <w:strike/>
                <w:szCs w:val="24"/>
              </w:rPr>
              <w:t>81*</w:t>
            </w:r>
          </w:p>
          <w:p w:rsidR="00394DAA" w:rsidRPr="00BA0E76" w:rsidRDefault="00394DAA" w:rsidP="00555408">
            <w:pPr>
              <w:jc w:val="center"/>
              <w:rPr>
                <w:rFonts w:cs="Times New Roman"/>
                <w:strike/>
                <w:szCs w:val="24"/>
                <w:u w:val="single"/>
              </w:rPr>
            </w:pPr>
            <w:r>
              <w:rPr>
                <w:rFonts w:cs="Times New Roman"/>
                <w:szCs w:val="24"/>
                <w:u w:val="single"/>
              </w:rPr>
              <w:t>83*</w:t>
            </w:r>
          </w:p>
        </w:tc>
        <w:tc>
          <w:tcPr>
            <w:tcW w:w="1129" w:type="dxa"/>
          </w:tcPr>
          <w:p w:rsidR="00394DAA" w:rsidRPr="005719E7" w:rsidRDefault="00394DAA" w:rsidP="00555408">
            <w:pPr>
              <w:jc w:val="center"/>
              <w:rPr>
                <w:rFonts w:cs="Times New Roman"/>
                <w:strike/>
                <w:szCs w:val="24"/>
              </w:rPr>
            </w:pPr>
            <w:r>
              <w:rPr>
                <w:rFonts w:cs="Times New Roman"/>
                <w:strike/>
                <w:szCs w:val="24"/>
              </w:rPr>
              <w:t>81*</w:t>
            </w:r>
          </w:p>
          <w:p w:rsidR="00394DAA" w:rsidRPr="00BA0E76" w:rsidRDefault="00394DAA" w:rsidP="00555408">
            <w:pPr>
              <w:jc w:val="center"/>
              <w:rPr>
                <w:rFonts w:cs="Times New Roman"/>
                <w:strike/>
                <w:szCs w:val="24"/>
                <w:u w:val="single"/>
              </w:rPr>
            </w:pPr>
            <w:r>
              <w:rPr>
                <w:rFonts w:cs="Times New Roman"/>
                <w:szCs w:val="24"/>
                <w:u w:val="single"/>
              </w:rPr>
              <w:t>83*</w:t>
            </w:r>
          </w:p>
        </w:tc>
        <w:tc>
          <w:tcPr>
            <w:tcW w:w="1129" w:type="dxa"/>
          </w:tcPr>
          <w:p w:rsidR="00394DAA" w:rsidRPr="005719E7" w:rsidRDefault="00394DAA" w:rsidP="00555408">
            <w:pPr>
              <w:jc w:val="center"/>
              <w:rPr>
                <w:rFonts w:cs="Times New Roman"/>
                <w:strike/>
                <w:szCs w:val="24"/>
              </w:rPr>
            </w:pPr>
            <w:r>
              <w:rPr>
                <w:rFonts w:cs="Times New Roman"/>
                <w:strike/>
                <w:szCs w:val="24"/>
              </w:rPr>
              <w:t>81*</w:t>
            </w:r>
          </w:p>
          <w:p w:rsidR="00394DAA" w:rsidRPr="00BA0E76" w:rsidRDefault="00394DAA" w:rsidP="00555408">
            <w:pPr>
              <w:jc w:val="center"/>
              <w:rPr>
                <w:rFonts w:cs="Times New Roman"/>
                <w:strike/>
                <w:szCs w:val="24"/>
                <w:u w:val="single"/>
              </w:rPr>
            </w:pPr>
            <w:r>
              <w:rPr>
                <w:rFonts w:cs="Times New Roman"/>
                <w:szCs w:val="24"/>
                <w:u w:val="single"/>
              </w:rPr>
              <w:t>83</w:t>
            </w:r>
            <w:r w:rsidRPr="00BA0E76">
              <w:rPr>
                <w:rFonts w:cs="Times New Roman"/>
                <w:szCs w:val="24"/>
                <w:u w:val="single"/>
              </w:rPr>
              <w:t>*</w:t>
            </w:r>
          </w:p>
        </w:tc>
        <w:tc>
          <w:tcPr>
            <w:tcW w:w="1198" w:type="dxa"/>
          </w:tcPr>
          <w:p w:rsidR="00394DAA" w:rsidRPr="003140BC" w:rsidRDefault="00394DAA" w:rsidP="00C33BDB">
            <w:pPr>
              <w:jc w:val="center"/>
              <w:rPr>
                <w:rFonts w:cs="Times New Roman"/>
                <w:szCs w:val="24"/>
              </w:rPr>
            </w:pPr>
            <w:r w:rsidRPr="003140BC">
              <w:rPr>
                <w:rFonts w:cs="Times New Roman"/>
                <w:szCs w:val="24"/>
              </w:rPr>
              <w:t>70</w:t>
            </w:r>
          </w:p>
        </w:tc>
      </w:tr>
    </w:tbl>
    <w:p w:rsidR="008C66BB" w:rsidRDefault="00394DAA" w:rsidP="008C66BB">
      <w:pPr>
        <w:contextualSpacing/>
        <w:rPr>
          <w:rFonts w:cs="Times New Roman"/>
        </w:rPr>
      </w:pPr>
      <w:r w:rsidRPr="00DB77D0">
        <w:rPr>
          <w:rFonts w:cs="Times New Roman"/>
        </w:rPr>
        <w:t>* Subgroups that meet or exceed the target must improve from the previous year</w:t>
      </w:r>
      <w:r>
        <w:rPr>
          <w:rFonts w:cs="Times New Roman"/>
        </w:rPr>
        <w:t>.</w:t>
      </w:r>
    </w:p>
    <w:p w:rsidR="00394DAA" w:rsidRDefault="00394DAA" w:rsidP="008C66BB">
      <w:pPr>
        <w:contextualSpacing/>
      </w:pPr>
    </w:p>
    <w:p w:rsidR="009549D1" w:rsidRDefault="009549D1" w:rsidP="00797C12">
      <w:pPr>
        <w:spacing w:after="0"/>
        <w:rPr>
          <w:u w:val="single"/>
        </w:rPr>
      </w:pPr>
      <w:r>
        <w:rPr>
          <w:u w:val="single"/>
        </w:rPr>
        <w:t>Additional Description to Support Amendment Two</w:t>
      </w:r>
    </w:p>
    <w:p w:rsidR="00394DAA" w:rsidRDefault="00394DAA" w:rsidP="00394DAA">
      <w:pPr>
        <w:spacing w:after="0"/>
      </w:pPr>
      <w:r>
        <w:t xml:space="preserve">In late June, USED approved the second amendment to Virginia’s state plan. The amendment provided the definition of ineffective teacher – </w:t>
      </w:r>
      <w:r w:rsidRPr="006C4A77">
        <w:rPr>
          <w:i/>
        </w:rPr>
        <w:t xml:space="preserve">a teacher who is both out-of-field and inexperienced </w:t>
      </w:r>
      <w:r>
        <w:t>– that was approved by the Board to meet federal reporting requirements. The approval letter indicated that by September 15, 2019</w:t>
      </w:r>
      <w:r w:rsidR="00052DC9">
        <w:t>,</w:t>
      </w:r>
      <w:r>
        <w:t xml:space="preserve"> Virginia must include in the state plan a description of</w:t>
      </w:r>
      <w:r>
        <w:rPr>
          <w:rFonts w:eastAsia="Calibri" w:cs="Times New Roman"/>
          <w:szCs w:val="24"/>
        </w:rPr>
        <w:t xml:space="preserve"> how low-income and minority students enrolled in Title I schools are not served at disproportionate rates by ineffective teachers. USED has indicated that updating a data table in the plan to include data on the new definition </w:t>
      </w:r>
      <w:r w:rsidR="00C406EC">
        <w:rPr>
          <w:rFonts w:eastAsia="Calibri" w:cs="Times New Roman"/>
          <w:szCs w:val="24"/>
        </w:rPr>
        <w:t>should</w:t>
      </w:r>
      <w:r>
        <w:rPr>
          <w:rFonts w:eastAsia="Calibri" w:cs="Times New Roman"/>
          <w:szCs w:val="24"/>
        </w:rPr>
        <w:t xml:space="preserve"> fulfill this requirement. T</w:t>
      </w:r>
      <w:r>
        <w:t>he proposed additions to the plan are underlined in the plan excerpt below.</w:t>
      </w:r>
    </w:p>
    <w:p w:rsidR="009549D1" w:rsidRDefault="009549D1" w:rsidP="009549D1">
      <w:pPr>
        <w:spacing w:after="0"/>
      </w:pPr>
    </w:p>
    <w:p w:rsidR="009549D1" w:rsidRPr="000318A2" w:rsidRDefault="009549D1" w:rsidP="009549D1">
      <w:pPr>
        <w:ind w:left="720"/>
        <w:rPr>
          <w:i/>
        </w:rPr>
      </w:pPr>
      <w:r w:rsidRPr="000318A2">
        <w:rPr>
          <w:i/>
        </w:rPr>
        <w:t xml:space="preserve">The table below reflects an updated analysis of data from the 2016-2017 teacher quality data collection that distinguishes between Title I schools as compared with non-Title I schools regarding inexperienced and out-of-field teachers as well as high-minority versus low-minority schools. </w:t>
      </w:r>
    </w:p>
    <w:p w:rsidR="009549D1" w:rsidRDefault="009549D1" w:rsidP="009549D1">
      <w:pPr>
        <w:spacing w:after="0" w:line="240" w:lineRule="auto"/>
        <w:jc w:val="center"/>
        <w:rPr>
          <w:rFonts w:cs="Times New Roman"/>
          <w:b/>
          <w:i/>
          <w:szCs w:val="24"/>
        </w:rPr>
      </w:pPr>
      <w:r w:rsidRPr="000318A2">
        <w:rPr>
          <w:rFonts w:cs="Times New Roman"/>
          <w:b/>
          <w:i/>
          <w:szCs w:val="24"/>
        </w:rPr>
        <w:t>Title I vs. Non-Title I Schools Teacher Quality Data Comparisons</w:t>
      </w:r>
    </w:p>
    <w:tbl>
      <w:tblPr>
        <w:tblStyle w:val="TableGrid1"/>
        <w:tblW w:w="0" w:type="auto"/>
        <w:jc w:val="center"/>
        <w:tblLook w:val="04A0" w:firstRow="1" w:lastRow="0" w:firstColumn="1" w:lastColumn="0" w:noHBand="0" w:noVBand="1"/>
        <w:tblCaption w:val="Title I versus Non-Title I Schools Teacher Quality Data Comparisons"/>
        <w:tblDescription w:val="This table provides the percent of out-of-field and inexperienced teachers in Title I schools and non-Title I schools, and also in high minority Title I schools and not high-minority non-Title I schools"/>
      </w:tblPr>
      <w:tblGrid>
        <w:gridCol w:w="3240"/>
        <w:gridCol w:w="1890"/>
        <w:gridCol w:w="1795"/>
        <w:gridCol w:w="1980"/>
      </w:tblGrid>
      <w:tr w:rsidR="00C406EC" w:rsidRPr="00741AFB" w:rsidTr="00555408">
        <w:trPr>
          <w:tblHeader/>
          <w:jc w:val="center"/>
        </w:trPr>
        <w:tc>
          <w:tcPr>
            <w:tcW w:w="3240" w:type="dxa"/>
          </w:tcPr>
          <w:p w:rsidR="00C406EC" w:rsidRPr="000318A2" w:rsidRDefault="00C406EC" w:rsidP="00555408">
            <w:pPr>
              <w:jc w:val="right"/>
              <w:rPr>
                <w:i/>
                <w:szCs w:val="24"/>
              </w:rPr>
            </w:pPr>
          </w:p>
        </w:tc>
        <w:tc>
          <w:tcPr>
            <w:tcW w:w="1890" w:type="dxa"/>
          </w:tcPr>
          <w:p w:rsidR="00C406EC" w:rsidRPr="000318A2" w:rsidRDefault="00C406EC" w:rsidP="00555408">
            <w:pPr>
              <w:rPr>
                <w:i/>
                <w:szCs w:val="24"/>
              </w:rPr>
            </w:pPr>
            <w:r w:rsidRPr="000318A2">
              <w:rPr>
                <w:i/>
                <w:szCs w:val="24"/>
              </w:rPr>
              <w:t>Out-of-Field Teachers</w:t>
            </w:r>
          </w:p>
        </w:tc>
        <w:tc>
          <w:tcPr>
            <w:tcW w:w="1795" w:type="dxa"/>
          </w:tcPr>
          <w:p w:rsidR="00C406EC" w:rsidRPr="000318A2" w:rsidRDefault="00C406EC" w:rsidP="00555408">
            <w:pPr>
              <w:rPr>
                <w:i/>
                <w:szCs w:val="24"/>
              </w:rPr>
            </w:pPr>
            <w:r w:rsidRPr="000318A2">
              <w:rPr>
                <w:i/>
                <w:szCs w:val="24"/>
              </w:rPr>
              <w:t>Inexperienced Teachers</w:t>
            </w:r>
          </w:p>
        </w:tc>
        <w:tc>
          <w:tcPr>
            <w:tcW w:w="1980" w:type="dxa"/>
          </w:tcPr>
          <w:p w:rsidR="00C406EC" w:rsidRPr="00741AFB" w:rsidRDefault="00C406EC" w:rsidP="00555408">
            <w:pPr>
              <w:rPr>
                <w:i/>
                <w:szCs w:val="24"/>
                <w:u w:val="single"/>
              </w:rPr>
            </w:pPr>
            <w:r w:rsidRPr="00741AFB">
              <w:rPr>
                <w:i/>
                <w:szCs w:val="24"/>
                <w:u w:val="single"/>
              </w:rPr>
              <w:t>Out-of-Field and Inexperienced Teachers</w:t>
            </w:r>
          </w:p>
        </w:tc>
      </w:tr>
      <w:tr w:rsidR="00C406EC" w:rsidRPr="00741AFB" w:rsidTr="00555408">
        <w:trPr>
          <w:jc w:val="center"/>
        </w:trPr>
        <w:tc>
          <w:tcPr>
            <w:tcW w:w="3240" w:type="dxa"/>
          </w:tcPr>
          <w:p w:rsidR="00C406EC" w:rsidRPr="00741AFB" w:rsidRDefault="00C406EC" w:rsidP="00555408">
            <w:pPr>
              <w:rPr>
                <w:i/>
                <w:szCs w:val="24"/>
              </w:rPr>
            </w:pPr>
            <w:r w:rsidRPr="000318A2">
              <w:rPr>
                <w:i/>
                <w:szCs w:val="24"/>
              </w:rPr>
              <w:t>Title I Schools (Low-Income)</w:t>
            </w:r>
          </w:p>
          <w:p w:rsidR="00C406EC" w:rsidRPr="000318A2" w:rsidRDefault="00C406EC" w:rsidP="00555408">
            <w:pPr>
              <w:rPr>
                <w:i/>
                <w:szCs w:val="24"/>
              </w:rPr>
            </w:pPr>
          </w:p>
        </w:tc>
        <w:tc>
          <w:tcPr>
            <w:tcW w:w="1890" w:type="dxa"/>
          </w:tcPr>
          <w:p w:rsidR="00C406EC" w:rsidRPr="000318A2" w:rsidRDefault="00C406EC" w:rsidP="00555408">
            <w:pPr>
              <w:jc w:val="center"/>
              <w:rPr>
                <w:i/>
                <w:szCs w:val="24"/>
              </w:rPr>
            </w:pPr>
            <w:r w:rsidRPr="000318A2">
              <w:rPr>
                <w:i/>
                <w:szCs w:val="24"/>
              </w:rPr>
              <w:t>1.5</w:t>
            </w:r>
          </w:p>
        </w:tc>
        <w:tc>
          <w:tcPr>
            <w:tcW w:w="1795" w:type="dxa"/>
          </w:tcPr>
          <w:p w:rsidR="00C406EC" w:rsidRPr="000318A2" w:rsidRDefault="00C406EC" w:rsidP="00555408">
            <w:pPr>
              <w:jc w:val="center"/>
              <w:rPr>
                <w:i/>
                <w:szCs w:val="24"/>
              </w:rPr>
            </w:pPr>
            <w:r w:rsidRPr="000318A2">
              <w:rPr>
                <w:i/>
                <w:szCs w:val="24"/>
              </w:rPr>
              <w:t>5.7</w:t>
            </w:r>
          </w:p>
        </w:tc>
        <w:tc>
          <w:tcPr>
            <w:tcW w:w="1980" w:type="dxa"/>
          </w:tcPr>
          <w:p w:rsidR="00C406EC" w:rsidRPr="00DF586E" w:rsidRDefault="00C406EC" w:rsidP="00555408">
            <w:pPr>
              <w:jc w:val="center"/>
              <w:rPr>
                <w:i/>
                <w:szCs w:val="24"/>
                <w:u w:val="single"/>
              </w:rPr>
            </w:pPr>
            <w:r w:rsidRPr="00DF586E">
              <w:rPr>
                <w:i/>
                <w:szCs w:val="24"/>
                <w:u w:val="single"/>
              </w:rPr>
              <w:t>.2</w:t>
            </w:r>
          </w:p>
        </w:tc>
      </w:tr>
      <w:tr w:rsidR="00C406EC" w:rsidRPr="00741AFB" w:rsidTr="00555408">
        <w:trPr>
          <w:jc w:val="center"/>
        </w:trPr>
        <w:tc>
          <w:tcPr>
            <w:tcW w:w="3240" w:type="dxa"/>
          </w:tcPr>
          <w:p w:rsidR="00C406EC" w:rsidRPr="000318A2" w:rsidRDefault="00C406EC" w:rsidP="00555408">
            <w:pPr>
              <w:rPr>
                <w:i/>
                <w:szCs w:val="24"/>
              </w:rPr>
            </w:pPr>
            <w:r w:rsidRPr="000318A2">
              <w:rPr>
                <w:i/>
                <w:szCs w:val="24"/>
              </w:rPr>
              <w:t>Non-Title I Schools (Not Low-Income)</w:t>
            </w:r>
          </w:p>
        </w:tc>
        <w:tc>
          <w:tcPr>
            <w:tcW w:w="1890" w:type="dxa"/>
          </w:tcPr>
          <w:p w:rsidR="00C406EC" w:rsidRPr="000318A2" w:rsidRDefault="00C406EC" w:rsidP="00555408">
            <w:pPr>
              <w:jc w:val="center"/>
              <w:rPr>
                <w:i/>
                <w:szCs w:val="24"/>
              </w:rPr>
            </w:pPr>
            <w:r w:rsidRPr="000318A2">
              <w:rPr>
                <w:i/>
                <w:szCs w:val="24"/>
              </w:rPr>
              <w:t>1.8</w:t>
            </w:r>
          </w:p>
        </w:tc>
        <w:tc>
          <w:tcPr>
            <w:tcW w:w="1795" w:type="dxa"/>
          </w:tcPr>
          <w:p w:rsidR="00C406EC" w:rsidRPr="000318A2" w:rsidRDefault="00C406EC" w:rsidP="00555408">
            <w:pPr>
              <w:jc w:val="center"/>
              <w:rPr>
                <w:i/>
                <w:szCs w:val="24"/>
              </w:rPr>
            </w:pPr>
            <w:r w:rsidRPr="000318A2">
              <w:rPr>
                <w:i/>
                <w:szCs w:val="24"/>
              </w:rPr>
              <w:t>4.5</w:t>
            </w:r>
          </w:p>
        </w:tc>
        <w:tc>
          <w:tcPr>
            <w:tcW w:w="1980" w:type="dxa"/>
          </w:tcPr>
          <w:p w:rsidR="00C406EC" w:rsidRPr="00DF586E" w:rsidRDefault="00C406EC" w:rsidP="00555408">
            <w:pPr>
              <w:jc w:val="center"/>
              <w:rPr>
                <w:i/>
                <w:u w:val="single"/>
              </w:rPr>
            </w:pPr>
            <w:r w:rsidRPr="00DF586E">
              <w:rPr>
                <w:i/>
                <w:szCs w:val="24"/>
                <w:u w:val="single"/>
              </w:rPr>
              <w:t>.3</w:t>
            </w:r>
          </w:p>
        </w:tc>
      </w:tr>
      <w:tr w:rsidR="00C406EC" w:rsidRPr="00741AFB" w:rsidTr="00555408">
        <w:trPr>
          <w:jc w:val="center"/>
        </w:trPr>
        <w:tc>
          <w:tcPr>
            <w:tcW w:w="3240" w:type="dxa"/>
            <w:tcBorders>
              <w:bottom w:val="single" w:sz="4" w:space="0" w:color="auto"/>
            </w:tcBorders>
            <w:shd w:val="clear" w:color="auto" w:fill="D9D9D9" w:themeFill="background1" w:themeFillShade="D9"/>
          </w:tcPr>
          <w:p w:rsidR="00C406EC" w:rsidRPr="00741AFB" w:rsidRDefault="00C406EC" w:rsidP="00555408">
            <w:pPr>
              <w:rPr>
                <w:i/>
                <w:szCs w:val="24"/>
              </w:rPr>
            </w:pPr>
            <w:r w:rsidRPr="000318A2">
              <w:rPr>
                <w:i/>
                <w:szCs w:val="24"/>
              </w:rPr>
              <w:t>Difference (gap)</w:t>
            </w:r>
          </w:p>
          <w:p w:rsidR="00C406EC" w:rsidRPr="000318A2" w:rsidRDefault="00C406EC" w:rsidP="00555408">
            <w:pPr>
              <w:rPr>
                <w:i/>
                <w:szCs w:val="24"/>
              </w:rPr>
            </w:pPr>
          </w:p>
        </w:tc>
        <w:tc>
          <w:tcPr>
            <w:tcW w:w="1890" w:type="dxa"/>
            <w:tcBorders>
              <w:bottom w:val="single" w:sz="4" w:space="0" w:color="auto"/>
            </w:tcBorders>
            <w:shd w:val="clear" w:color="auto" w:fill="D9D9D9" w:themeFill="background1" w:themeFillShade="D9"/>
          </w:tcPr>
          <w:p w:rsidR="00C406EC" w:rsidRPr="000318A2" w:rsidRDefault="00C406EC" w:rsidP="00555408">
            <w:pPr>
              <w:jc w:val="center"/>
              <w:rPr>
                <w:i/>
                <w:szCs w:val="24"/>
              </w:rPr>
            </w:pPr>
            <w:r w:rsidRPr="000318A2">
              <w:rPr>
                <w:i/>
                <w:szCs w:val="24"/>
              </w:rPr>
              <w:t>-.3</w:t>
            </w:r>
          </w:p>
        </w:tc>
        <w:tc>
          <w:tcPr>
            <w:tcW w:w="1795" w:type="dxa"/>
            <w:tcBorders>
              <w:bottom w:val="single" w:sz="4" w:space="0" w:color="auto"/>
            </w:tcBorders>
            <w:shd w:val="clear" w:color="auto" w:fill="D9D9D9" w:themeFill="background1" w:themeFillShade="D9"/>
          </w:tcPr>
          <w:p w:rsidR="00C406EC" w:rsidRPr="000318A2" w:rsidRDefault="00C406EC" w:rsidP="00555408">
            <w:pPr>
              <w:jc w:val="center"/>
              <w:rPr>
                <w:i/>
                <w:szCs w:val="24"/>
              </w:rPr>
            </w:pPr>
            <w:r w:rsidRPr="000318A2">
              <w:rPr>
                <w:i/>
                <w:szCs w:val="24"/>
              </w:rPr>
              <w:t>1.2</w:t>
            </w:r>
          </w:p>
        </w:tc>
        <w:tc>
          <w:tcPr>
            <w:tcW w:w="1980" w:type="dxa"/>
            <w:tcBorders>
              <w:bottom w:val="single" w:sz="4" w:space="0" w:color="auto"/>
            </w:tcBorders>
            <w:shd w:val="clear" w:color="auto" w:fill="D9D9D9" w:themeFill="background1" w:themeFillShade="D9"/>
          </w:tcPr>
          <w:p w:rsidR="00C406EC" w:rsidRPr="00DF586E" w:rsidRDefault="00C406EC" w:rsidP="00555408">
            <w:pPr>
              <w:jc w:val="center"/>
              <w:rPr>
                <w:i/>
                <w:u w:val="single"/>
              </w:rPr>
            </w:pPr>
            <w:r w:rsidRPr="00DF586E">
              <w:rPr>
                <w:i/>
                <w:szCs w:val="24"/>
                <w:u w:val="single"/>
              </w:rPr>
              <w:t>-.1</w:t>
            </w:r>
          </w:p>
        </w:tc>
      </w:tr>
      <w:tr w:rsidR="00C406EC" w:rsidRPr="00741AFB" w:rsidTr="00555408">
        <w:trPr>
          <w:jc w:val="center"/>
        </w:trPr>
        <w:tc>
          <w:tcPr>
            <w:tcW w:w="3240" w:type="dxa"/>
          </w:tcPr>
          <w:p w:rsidR="00C406EC" w:rsidRPr="000318A2" w:rsidRDefault="00C406EC" w:rsidP="00555408">
            <w:pPr>
              <w:rPr>
                <w:i/>
                <w:szCs w:val="24"/>
              </w:rPr>
            </w:pPr>
            <w:r w:rsidRPr="000318A2">
              <w:rPr>
                <w:i/>
                <w:szCs w:val="24"/>
              </w:rPr>
              <w:lastRenderedPageBreak/>
              <w:t>High Minority Title I schools  (highest quartile)</w:t>
            </w:r>
          </w:p>
        </w:tc>
        <w:tc>
          <w:tcPr>
            <w:tcW w:w="1890" w:type="dxa"/>
          </w:tcPr>
          <w:p w:rsidR="00C406EC" w:rsidRPr="000318A2" w:rsidRDefault="00C406EC" w:rsidP="00555408">
            <w:pPr>
              <w:jc w:val="center"/>
              <w:rPr>
                <w:i/>
                <w:szCs w:val="24"/>
              </w:rPr>
            </w:pPr>
            <w:r w:rsidRPr="000318A2">
              <w:rPr>
                <w:i/>
                <w:szCs w:val="24"/>
              </w:rPr>
              <w:t>2.1</w:t>
            </w:r>
          </w:p>
        </w:tc>
        <w:tc>
          <w:tcPr>
            <w:tcW w:w="1795" w:type="dxa"/>
          </w:tcPr>
          <w:p w:rsidR="00C406EC" w:rsidRPr="000318A2" w:rsidRDefault="00C406EC" w:rsidP="00555408">
            <w:pPr>
              <w:jc w:val="center"/>
              <w:rPr>
                <w:i/>
                <w:szCs w:val="24"/>
              </w:rPr>
            </w:pPr>
            <w:r w:rsidRPr="000318A2">
              <w:rPr>
                <w:i/>
                <w:szCs w:val="24"/>
              </w:rPr>
              <w:t>5.4</w:t>
            </w:r>
          </w:p>
        </w:tc>
        <w:tc>
          <w:tcPr>
            <w:tcW w:w="1980" w:type="dxa"/>
          </w:tcPr>
          <w:p w:rsidR="00C406EC" w:rsidRPr="00DF586E" w:rsidRDefault="00C406EC" w:rsidP="00555408">
            <w:pPr>
              <w:jc w:val="center"/>
              <w:rPr>
                <w:i/>
                <w:u w:val="single"/>
              </w:rPr>
            </w:pPr>
            <w:r w:rsidRPr="00DF586E">
              <w:rPr>
                <w:i/>
                <w:szCs w:val="24"/>
                <w:u w:val="single"/>
              </w:rPr>
              <w:t>.4</w:t>
            </w:r>
          </w:p>
        </w:tc>
      </w:tr>
      <w:tr w:rsidR="00C406EC" w:rsidRPr="00741AFB" w:rsidTr="00555408">
        <w:trPr>
          <w:jc w:val="center"/>
        </w:trPr>
        <w:tc>
          <w:tcPr>
            <w:tcW w:w="3240" w:type="dxa"/>
          </w:tcPr>
          <w:p w:rsidR="00C406EC" w:rsidRPr="000318A2" w:rsidRDefault="00C406EC" w:rsidP="00555408">
            <w:pPr>
              <w:rPr>
                <w:i/>
                <w:szCs w:val="24"/>
              </w:rPr>
            </w:pPr>
            <w:r w:rsidRPr="000318A2">
              <w:rPr>
                <w:i/>
                <w:szCs w:val="24"/>
              </w:rPr>
              <w:t>Not High-Minority Non-Title I Schools (lowest quartile)</w:t>
            </w:r>
          </w:p>
        </w:tc>
        <w:tc>
          <w:tcPr>
            <w:tcW w:w="1890" w:type="dxa"/>
          </w:tcPr>
          <w:p w:rsidR="00C406EC" w:rsidRPr="000318A2" w:rsidRDefault="00C406EC" w:rsidP="00555408">
            <w:pPr>
              <w:jc w:val="center"/>
              <w:rPr>
                <w:i/>
                <w:szCs w:val="24"/>
              </w:rPr>
            </w:pPr>
            <w:r w:rsidRPr="000318A2">
              <w:rPr>
                <w:i/>
                <w:szCs w:val="24"/>
              </w:rPr>
              <w:t>1.1</w:t>
            </w:r>
          </w:p>
        </w:tc>
        <w:tc>
          <w:tcPr>
            <w:tcW w:w="1795" w:type="dxa"/>
          </w:tcPr>
          <w:p w:rsidR="00C406EC" w:rsidRPr="000318A2" w:rsidRDefault="00C406EC" w:rsidP="00555408">
            <w:pPr>
              <w:jc w:val="center"/>
              <w:rPr>
                <w:i/>
                <w:szCs w:val="24"/>
              </w:rPr>
            </w:pPr>
            <w:r w:rsidRPr="000318A2">
              <w:rPr>
                <w:i/>
                <w:szCs w:val="24"/>
              </w:rPr>
              <w:t>4.1</w:t>
            </w:r>
          </w:p>
        </w:tc>
        <w:tc>
          <w:tcPr>
            <w:tcW w:w="1980" w:type="dxa"/>
          </w:tcPr>
          <w:p w:rsidR="00C406EC" w:rsidRPr="00DF586E" w:rsidRDefault="00C406EC" w:rsidP="00555408">
            <w:pPr>
              <w:jc w:val="center"/>
              <w:rPr>
                <w:i/>
                <w:u w:val="single"/>
              </w:rPr>
            </w:pPr>
            <w:r w:rsidRPr="00DF586E">
              <w:rPr>
                <w:i/>
                <w:szCs w:val="24"/>
                <w:u w:val="single"/>
              </w:rPr>
              <w:t>.3</w:t>
            </w:r>
          </w:p>
        </w:tc>
      </w:tr>
      <w:tr w:rsidR="00C406EC" w:rsidRPr="00741AFB" w:rsidTr="00555408">
        <w:trPr>
          <w:jc w:val="center"/>
        </w:trPr>
        <w:tc>
          <w:tcPr>
            <w:tcW w:w="3240" w:type="dxa"/>
            <w:shd w:val="clear" w:color="auto" w:fill="D9D9D9" w:themeFill="background1" w:themeFillShade="D9"/>
          </w:tcPr>
          <w:p w:rsidR="00C406EC" w:rsidRPr="00741AFB" w:rsidRDefault="00C406EC" w:rsidP="00555408">
            <w:pPr>
              <w:rPr>
                <w:i/>
                <w:szCs w:val="24"/>
              </w:rPr>
            </w:pPr>
            <w:r w:rsidRPr="000318A2">
              <w:rPr>
                <w:i/>
                <w:szCs w:val="24"/>
              </w:rPr>
              <w:t>Difference (gap)</w:t>
            </w:r>
          </w:p>
          <w:p w:rsidR="00C406EC" w:rsidRPr="000318A2" w:rsidRDefault="00C406EC" w:rsidP="00555408">
            <w:pPr>
              <w:rPr>
                <w:i/>
                <w:szCs w:val="24"/>
              </w:rPr>
            </w:pPr>
          </w:p>
        </w:tc>
        <w:tc>
          <w:tcPr>
            <w:tcW w:w="1890" w:type="dxa"/>
            <w:shd w:val="clear" w:color="auto" w:fill="D9D9D9" w:themeFill="background1" w:themeFillShade="D9"/>
          </w:tcPr>
          <w:p w:rsidR="00C406EC" w:rsidRPr="000318A2" w:rsidRDefault="00C406EC" w:rsidP="00555408">
            <w:pPr>
              <w:jc w:val="center"/>
              <w:rPr>
                <w:i/>
                <w:szCs w:val="24"/>
              </w:rPr>
            </w:pPr>
            <w:r w:rsidRPr="000318A2">
              <w:rPr>
                <w:i/>
                <w:szCs w:val="24"/>
              </w:rPr>
              <w:t>1.0</w:t>
            </w:r>
          </w:p>
        </w:tc>
        <w:tc>
          <w:tcPr>
            <w:tcW w:w="1795" w:type="dxa"/>
            <w:shd w:val="clear" w:color="auto" w:fill="D9D9D9" w:themeFill="background1" w:themeFillShade="D9"/>
          </w:tcPr>
          <w:p w:rsidR="00C406EC" w:rsidRPr="000318A2" w:rsidRDefault="00C406EC" w:rsidP="00555408">
            <w:pPr>
              <w:jc w:val="center"/>
              <w:rPr>
                <w:i/>
                <w:szCs w:val="24"/>
              </w:rPr>
            </w:pPr>
            <w:r w:rsidRPr="000318A2">
              <w:rPr>
                <w:i/>
                <w:szCs w:val="24"/>
              </w:rPr>
              <w:t>1.3</w:t>
            </w:r>
          </w:p>
        </w:tc>
        <w:tc>
          <w:tcPr>
            <w:tcW w:w="1980" w:type="dxa"/>
            <w:shd w:val="clear" w:color="auto" w:fill="D9D9D9" w:themeFill="background1" w:themeFillShade="D9"/>
          </w:tcPr>
          <w:p w:rsidR="00C406EC" w:rsidRPr="00DF586E" w:rsidRDefault="00C406EC" w:rsidP="00555408">
            <w:pPr>
              <w:jc w:val="center"/>
              <w:rPr>
                <w:i/>
                <w:u w:val="single"/>
              </w:rPr>
            </w:pPr>
            <w:r w:rsidRPr="00DF586E">
              <w:rPr>
                <w:i/>
                <w:szCs w:val="24"/>
                <w:u w:val="single"/>
              </w:rPr>
              <w:t>.1</w:t>
            </w:r>
          </w:p>
        </w:tc>
      </w:tr>
    </w:tbl>
    <w:p w:rsidR="009549D1" w:rsidRDefault="009549D1" w:rsidP="00036B25">
      <w:pPr>
        <w:spacing w:after="0"/>
        <w:rPr>
          <w:rFonts w:cs="Times New Roman"/>
          <w:i/>
          <w:szCs w:val="24"/>
        </w:rPr>
      </w:pPr>
    </w:p>
    <w:p w:rsidR="009549D1" w:rsidRPr="000318A2" w:rsidRDefault="009549D1" w:rsidP="009549D1">
      <w:pPr>
        <w:spacing w:after="0"/>
        <w:ind w:left="360"/>
        <w:rPr>
          <w:rFonts w:cs="Times New Roman"/>
          <w:i/>
          <w:szCs w:val="24"/>
        </w:rPr>
      </w:pPr>
      <w:r w:rsidRPr="000318A2">
        <w:rPr>
          <w:rFonts w:cs="Times New Roman"/>
          <w:i/>
          <w:szCs w:val="24"/>
        </w:rPr>
        <w:t>Summary:</w:t>
      </w:r>
    </w:p>
    <w:p w:rsidR="009549D1" w:rsidRPr="000318A2" w:rsidRDefault="009549D1" w:rsidP="009549D1">
      <w:pPr>
        <w:numPr>
          <w:ilvl w:val="0"/>
          <w:numId w:val="5"/>
        </w:numPr>
        <w:spacing w:after="0"/>
        <w:ind w:left="1080"/>
        <w:contextualSpacing/>
        <w:rPr>
          <w:rFonts w:cs="Times New Roman"/>
          <w:i/>
          <w:szCs w:val="24"/>
        </w:rPr>
      </w:pPr>
      <w:r w:rsidRPr="000318A2">
        <w:rPr>
          <w:rFonts w:cs="Times New Roman"/>
          <w:i/>
          <w:szCs w:val="24"/>
        </w:rPr>
        <w:t>Non-Title I schools reported slightly more out-of-field teachers than Title I schools, resulting in a slight reverse gap.</w:t>
      </w:r>
    </w:p>
    <w:p w:rsidR="009549D1" w:rsidRPr="000318A2" w:rsidRDefault="009549D1" w:rsidP="009549D1">
      <w:pPr>
        <w:numPr>
          <w:ilvl w:val="0"/>
          <w:numId w:val="5"/>
        </w:numPr>
        <w:spacing w:after="0"/>
        <w:ind w:left="1080"/>
        <w:contextualSpacing/>
        <w:rPr>
          <w:rFonts w:cs="Times New Roman"/>
          <w:i/>
          <w:szCs w:val="24"/>
        </w:rPr>
      </w:pPr>
      <w:r w:rsidRPr="000318A2">
        <w:rPr>
          <w:rFonts w:cs="Times New Roman"/>
          <w:i/>
          <w:szCs w:val="24"/>
        </w:rPr>
        <w:t xml:space="preserve">High-minority schools reported slightly more out-of-field teachers than low-minority schools. </w:t>
      </w:r>
    </w:p>
    <w:p w:rsidR="009549D1" w:rsidRPr="000318A2" w:rsidRDefault="009549D1" w:rsidP="009549D1">
      <w:pPr>
        <w:numPr>
          <w:ilvl w:val="0"/>
          <w:numId w:val="5"/>
        </w:numPr>
        <w:spacing w:after="0"/>
        <w:ind w:left="1080"/>
        <w:contextualSpacing/>
        <w:rPr>
          <w:rFonts w:cs="Times New Roman"/>
          <w:i/>
          <w:szCs w:val="24"/>
        </w:rPr>
      </w:pPr>
      <w:r w:rsidRPr="000318A2">
        <w:rPr>
          <w:rFonts w:cs="Times New Roman"/>
          <w:i/>
          <w:szCs w:val="24"/>
        </w:rPr>
        <w:t>Title I schools report more inexperienced teachers than non-Title I schools, resulting in a relatively small gap of 1.2 percent.</w:t>
      </w:r>
    </w:p>
    <w:p w:rsidR="009549D1" w:rsidRDefault="009549D1" w:rsidP="009549D1">
      <w:pPr>
        <w:numPr>
          <w:ilvl w:val="0"/>
          <w:numId w:val="5"/>
        </w:numPr>
        <w:spacing w:after="0"/>
        <w:ind w:left="1080"/>
        <w:contextualSpacing/>
        <w:rPr>
          <w:rFonts w:cs="Times New Roman"/>
          <w:i/>
          <w:szCs w:val="24"/>
        </w:rPr>
      </w:pPr>
      <w:r w:rsidRPr="000318A2">
        <w:rPr>
          <w:rFonts w:cs="Times New Roman"/>
          <w:i/>
          <w:szCs w:val="24"/>
        </w:rPr>
        <w:t xml:space="preserve">High-minority schools report more inexperienced teachers than low-minority schools, resulting in a gap of 1.3 percent. </w:t>
      </w:r>
    </w:p>
    <w:p w:rsidR="009549D1" w:rsidRPr="00DF586E" w:rsidRDefault="009549D1" w:rsidP="009549D1">
      <w:pPr>
        <w:numPr>
          <w:ilvl w:val="0"/>
          <w:numId w:val="5"/>
        </w:numPr>
        <w:spacing w:after="0"/>
        <w:ind w:left="1080"/>
        <w:contextualSpacing/>
        <w:rPr>
          <w:rFonts w:cs="Times New Roman"/>
          <w:i/>
          <w:szCs w:val="24"/>
          <w:u w:val="single"/>
        </w:rPr>
      </w:pPr>
      <w:r>
        <w:rPr>
          <w:rFonts w:cs="Times New Roman"/>
          <w:i/>
          <w:szCs w:val="24"/>
          <w:u w:val="single"/>
        </w:rPr>
        <w:t>There are no significant gaps between Title I and non-Title I schools relative to teachers who are both out-of-field and inexperienced.</w:t>
      </w:r>
    </w:p>
    <w:p w:rsidR="00634547" w:rsidRDefault="00634547" w:rsidP="00AE5776">
      <w:pPr>
        <w:spacing w:after="0"/>
      </w:pPr>
    </w:p>
    <w:p w:rsidR="00D85B51" w:rsidRDefault="00D85B51" w:rsidP="00AE5776">
      <w:pPr>
        <w:autoSpaceDE w:val="0"/>
        <w:autoSpaceDN w:val="0"/>
        <w:spacing w:after="0"/>
        <w:contextualSpacing/>
      </w:pPr>
      <w:r w:rsidRPr="00406080">
        <w:t xml:space="preserve">The Department welcomes comments on </w:t>
      </w:r>
      <w:r>
        <w:t xml:space="preserve">this </w:t>
      </w:r>
      <w:r w:rsidR="00DA455B">
        <w:t>amendment</w:t>
      </w:r>
      <w:r>
        <w:t xml:space="preserve">. </w:t>
      </w:r>
      <w:r w:rsidRPr="00C9603A">
        <w:t xml:space="preserve">Comments may be submitted electronically </w:t>
      </w:r>
      <w:r w:rsidR="00052DC9">
        <w:t xml:space="preserve">by </w:t>
      </w:r>
      <w:r w:rsidR="002934CA">
        <w:rPr>
          <w:u w:val="single"/>
        </w:rPr>
        <w:t>Thurs</w:t>
      </w:r>
      <w:r>
        <w:rPr>
          <w:u w:val="single"/>
        </w:rPr>
        <w:t xml:space="preserve">day, </w:t>
      </w:r>
      <w:r w:rsidR="002934CA">
        <w:rPr>
          <w:u w:val="single"/>
        </w:rPr>
        <w:t>July 25</w:t>
      </w:r>
      <w:r w:rsidR="00DA455B">
        <w:rPr>
          <w:u w:val="single"/>
        </w:rPr>
        <w:t>, 2019</w:t>
      </w:r>
      <w:r w:rsidRPr="00C9603A">
        <w:t xml:space="preserve">, to </w:t>
      </w:r>
      <w:hyperlink r:id="rId13" w:history="1">
        <w:r w:rsidRPr="00C9603A">
          <w:rPr>
            <w:rStyle w:val="Hyperlink"/>
          </w:rPr>
          <w:t>ESSA@doe.virginia.gov</w:t>
        </w:r>
      </w:hyperlink>
      <w:r w:rsidRPr="00C9603A">
        <w:t>.</w:t>
      </w:r>
      <w:r w:rsidRPr="00406080">
        <w:t xml:space="preserve"> Comments may also be presented </w:t>
      </w:r>
      <w:r>
        <w:t xml:space="preserve">in person </w:t>
      </w:r>
      <w:r w:rsidR="00DA455B">
        <w:t xml:space="preserve">during </w:t>
      </w:r>
      <w:r w:rsidR="00AE5776">
        <w:t xml:space="preserve">the </w:t>
      </w:r>
      <w:r>
        <w:t>Board of Education Business Meeting</w:t>
      </w:r>
      <w:r w:rsidR="00281814">
        <w:t xml:space="preserve">s on </w:t>
      </w:r>
      <w:r w:rsidR="00354B9E">
        <w:t>Thursday, July 25</w:t>
      </w:r>
      <w:r w:rsidR="00052DC9">
        <w:t>, 2019. This meeting</w:t>
      </w:r>
      <w:r w:rsidR="00DA455B">
        <w:t xml:space="preserve"> will </w:t>
      </w:r>
      <w:r>
        <w:t xml:space="preserve">convene at 9:00 a.m. </w:t>
      </w:r>
      <w:r w:rsidRPr="00406080">
        <w:t>in the Jefferson Conference Room, 22</w:t>
      </w:r>
      <w:r w:rsidRPr="00406080">
        <w:rPr>
          <w:vertAlign w:val="superscript"/>
        </w:rPr>
        <w:t>nd</w:t>
      </w:r>
      <w:r w:rsidRPr="00406080">
        <w:t xml:space="preserve"> floor, James Monroe Building, 101 N. 14</w:t>
      </w:r>
      <w:r w:rsidRPr="00406080">
        <w:rPr>
          <w:vertAlign w:val="superscript"/>
        </w:rPr>
        <w:t>th</w:t>
      </w:r>
      <w:r>
        <w:t xml:space="preserve"> Street, Richmond, Virginia. </w:t>
      </w:r>
      <w:r w:rsidRPr="00406080">
        <w:t>Speakers intending to present comment are encouraged to contact</w:t>
      </w:r>
      <w:r>
        <w:t xml:space="preserve"> Sonya Broady, Secretary, Office of Board R</w:t>
      </w:r>
      <w:r w:rsidRPr="00406080">
        <w:t xml:space="preserve">elations, at </w:t>
      </w:r>
      <w:hyperlink r:id="rId14" w:history="1">
        <w:r w:rsidRPr="00C93644">
          <w:rPr>
            <w:rStyle w:val="Hyperlink"/>
          </w:rPr>
          <w:t>sonya.broady@doe.virginia.gov</w:t>
        </w:r>
      </w:hyperlink>
      <w:r>
        <w:t xml:space="preserve"> </w:t>
      </w:r>
      <w:r w:rsidRPr="00406080">
        <w:t xml:space="preserve">to be placed on the speaker list. </w:t>
      </w:r>
    </w:p>
    <w:p w:rsidR="00D85B51" w:rsidRPr="00406080" w:rsidRDefault="00D85B51" w:rsidP="00D85B51">
      <w:pPr>
        <w:autoSpaceDE w:val="0"/>
        <w:autoSpaceDN w:val="0"/>
        <w:contextualSpacing/>
      </w:pPr>
    </w:p>
    <w:p w:rsidR="00DE02F8" w:rsidRDefault="00D85B51" w:rsidP="00FA484E">
      <w:pPr>
        <w:autoSpaceDE w:val="0"/>
        <w:autoSpaceDN w:val="0"/>
        <w:spacing w:after="0"/>
      </w:pPr>
      <w:r>
        <w:t>Q</w:t>
      </w:r>
      <w:r w:rsidRPr="00406080">
        <w:t xml:space="preserve">uestions regarding Virginia’s </w:t>
      </w:r>
      <w:r w:rsidRPr="00AE5776">
        <w:t>ESSA State Plan</w:t>
      </w:r>
      <w:r>
        <w:t xml:space="preserve"> may </w:t>
      </w:r>
      <w:r w:rsidRPr="00406080">
        <w:t xml:space="preserve">be submitted to </w:t>
      </w:r>
      <w:hyperlink r:id="rId15" w:history="1">
        <w:r w:rsidRPr="00C16ABF">
          <w:rPr>
            <w:rStyle w:val="Hyperlink"/>
          </w:rPr>
          <w:t>ESSA@doe.virginia.gov</w:t>
        </w:r>
      </w:hyperlink>
      <w:r w:rsidRPr="00406080">
        <w:t>.</w:t>
      </w:r>
    </w:p>
    <w:p w:rsidR="00FA484E" w:rsidRPr="00DE02F8" w:rsidRDefault="00FA484E" w:rsidP="00FA484E">
      <w:pPr>
        <w:autoSpaceDE w:val="0"/>
        <w:autoSpaceDN w:val="0"/>
        <w:spacing w:after="0"/>
      </w:pPr>
    </w:p>
    <w:p w:rsidR="000D3917" w:rsidRPr="002934CA" w:rsidRDefault="00D85B51" w:rsidP="002934CA">
      <w:pPr>
        <w:spacing w:after="0"/>
        <w:rPr>
          <w:color w:val="000000"/>
          <w:szCs w:val="24"/>
        </w:rPr>
      </w:pPr>
      <w:r>
        <w:rPr>
          <w:color w:val="000000"/>
          <w:szCs w:val="24"/>
        </w:rPr>
        <w:t>JFL/ls</w:t>
      </w:r>
    </w:p>
    <w:sectPr w:rsidR="000D3917" w:rsidRPr="00293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CE" w:rsidRDefault="00E75FCE" w:rsidP="00B25322">
      <w:pPr>
        <w:spacing w:after="0" w:line="240" w:lineRule="auto"/>
      </w:pPr>
      <w:r>
        <w:separator/>
      </w:r>
    </w:p>
  </w:endnote>
  <w:endnote w:type="continuationSeparator" w:id="0">
    <w:p w:rsidR="00E75FCE" w:rsidRDefault="00E75FC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CE" w:rsidRDefault="00E75FCE" w:rsidP="00B25322">
      <w:pPr>
        <w:spacing w:after="0" w:line="240" w:lineRule="auto"/>
      </w:pPr>
      <w:r>
        <w:separator/>
      </w:r>
    </w:p>
  </w:footnote>
  <w:footnote w:type="continuationSeparator" w:id="0">
    <w:p w:rsidR="00E75FCE" w:rsidRDefault="00E75FC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748"/>
    <w:multiLevelType w:val="hybridMultilevel"/>
    <w:tmpl w:val="1F36CE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543482"/>
    <w:multiLevelType w:val="hybridMultilevel"/>
    <w:tmpl w:val="3BA6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07F2E"/>
    <w:multiLevelType w:val="hybridMultilevel"/>
    <w:tmpl w:val="A3F43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D2AEE"/>
    <w:multiLevelType w:val="hybridMultilevel"/>
    <w:tmpl w:val="25BE4D72"/>
    <w:lvl w:ilvl="0" w:tplc="690691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1242"/>
    <w:rsid w:val="00036B25"/>
    <w:rsid w:val="00044A1A"/>
    <w:rsid w:val="00052DC9"/>
    <w:rsid w:val="00062952"/>
    <w:rsid w:val="00074FDE"/>
    <w:rsid w:val="000D3917"/>
    <w:rsid w:val="000E2D83"/>
    <w:rsid w:val="000F4BFE"/>
    <w:rsid w:val="00101998"/>
    <w:rsid w:val="001301FE"/>
    <w:rsid w:val="00167950"/>
    <w:rsid w:val="001D4CD4"/>
    <w:rsid w:val="00212716"/>
    <w:rsid w:val="00223595"/>
    <w:rsid w:val="00227B1E"/>
    <w:rsid w:val="0027145D"/>
    <w:rsid w:val="00281814"/>
    <w:rsid w:val="002934CA"/>
    <w:rsid w:val="002A6350"/>
    <w:rsid w:val="002D05AE"/>
    <w:rsid w:val="002D55C3"/>
    <w:rsid w:val="002F2DAF"/>
    <w:rsid w:val="0031177E"/>
    <w:rsid w:val="003238EA"/>
    <w:rsid w:val="00333282"/>
    <w:rsid w:val="00337827"/>
    <w:rsid w:val="00354B9E"/>
    <w:rsid w:val="0035577A"/>
    <w:rsid w:val="00394DAA"/>
    <w:rsid w:val="00406FF4"/>
    <w:rsid w:val="00476A19"/>
    <w:rsid w:val="004C7DB9"/>
    <w:rsid w:val="004F6547"/>
    <w:rsid w:val="005030B1"/>
    <w:rsid w:val="00516A3D"/>
    <w:rsid w:val="00520EC8"/>
    <w:rsid w:val="00536061"/>
    <w:rsid w:val="005E06EF"/>
    <w:rsid w:val="005E1C33"/>
    <w:rsid w:val="00625A9B"/>
    <w:rsid w:val="00634547"/>
    <w:rsid w:val="00653DCC"/>
    <w:rsid w:val="006F3E4F"/>
    <w:rsid w:val="007157B6"/>
    <w:rsid w:val="0073236D"/>
    <w:rsid w:val="00741135"/>
    <w:rsid w:val="00793593"/>
    <w:rsid w:val="00797C12"/>
    <w:rsid w:val="007A73B4"/>
    <w:rsid w:val="007B1C8A"/>
    <w:rsid w:val="007C0B3F"/>
    <w:rsid w:val="007C3E67"/>
    <w:rsid w:val="007E6D82"/>
    <w:rsid w:val="007F0F94"/>
    <w:rsid w:val="00851C0B"/>
    <w:rsid w:val="0085472D"/>
    <w:rsid w:val="008631A7"/>
    <w:rsid w:val="008C4A46"/>
    <w:rsid w:val="008C66BB"/>
    <w:rsid w:val="008D650A"/>
    <w:rsid w:val="008E39E7"/>
    <w:rsid w:val="00936CD8"/>
    <w:rsid w:val="009549D1"/>
    <w:rsid w:val="00977AFA"/>
    <w:rsid w:val="009B33E5"/>
    <w:rsid w:val="009B51FA"/>
    <w:rsid w:val="009C7253"/>
    <w:rsid w:val="009E613D"/>
    <w:rsid w:val="00A26586"/>
    <w:rsid w:val="00A30BC9"/>
    <w:rsid w:val="00A3144F"/>
    <w:rsid w:val="00A35045"/>
    <w:rsid w:val="00A40F34"/>
    <w:rsid w:val="00A65EE6"/>
    <w:rsid w:val="00A67B2F"/>
    <w:rsid w:val="00AB2F1A"/>
    <w:rsid w:val="00AD7C32"/>
    <w:rsid w:val="00AE5776"/>
    <w:rsid w:val="00AE65FD"/>
    <w:rsid w:val="00AE73D6"/>
    <w:rsid w:val="00B01E92"/>
    <w:rsid w:val="00B25322"/>
    <w:rsid w:val="00BC1A9C"/>
    <w:rsid w:val="00BD386A"/>
    <w:rsid w:val="00BE00E6"/>
    <w:rsid w:val="00C23584"/>
    <w:rsid w:val="00C25FA1"/>
    <w:rsid w:val="00C36945"/>
    <w:rsid w:val="00C406EC"/>
    <w:rsid w:val="00CA70A4"/>
    <w:rsid w:val="00CD617A"/>
    <w:rsid w:val="00CF0233"/>
    <w:rsid w:val="00CF46DC"/>
    <w:rsid w:val="00D31697"/>
    <w:rsid w:val="00D534B4"/>
    <w:rsid w:val="00D55B56"/>
    <w:rsid w:val="00D85B51"/>
    <w:rsid w:val="00DA14B1"/>
    <w:rsid w:val="00DA455B"/>
    <w:rsid w:val="00DD368F"/>
    <w:rsid w:val="00DE02F8"/>
    <w:rsid w:val="00DE36A1"/>
    <w:rsid w:val="00DF4E28"/>
    <w:rsid w:val="00E12E2F"/>
    <w:rsid w:val="00E4085F"/>
    <w:rsid w:val="00E40B34"/>
    <w:rsid w:val="00E75FCE"/>
    <w:rsid w:val="00E760E6"/>
    <w:rsid w:val="00ED79E7"/>
    <w:rsid w:val="00EF4F6F"/>
    <w:rsid w:val="00F41943"/>
    <w:rsid w:val="00F81813"/>
    <w:rsid w:val="00FA484E"/>
    <w:rsid w:val="00FB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2D55C3"/>
    <w:pPr>
      <w:outlineLvl w:val="2"/>
    </w:pPr>
    <w:rPr>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2D55C3"/>
    <w:rPr>
      <w:rFonts w:ascii="Times New Roman" w:hAnsi="Times New Roman"/>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85B51"/>
    <w:rPr>
      <w:color w:val="800080" w:themeColor="followedHyperlink"/>
      <w:u w:val="single"/>
    </w:rPr>
  </w:style>
  <w:style w:type="table" w:styleId="TableGrid">
    <w:name w:val="Table Grid"/>
    <w:basedOn w:val="TableNormal"/>
    <w:uiPriority w:val="59"/>
    <w:rsid w:val="008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7C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2025">
      <w:bodyDiv w:val="1"/>
      <w:marLeft w:val="0"/>
      <w:marRight w:val="0"/>
      <w:marTop w:val="0"/>
      <w:marBottom w:val="0"/>
      <w:divBdr>
        <w:top w:val="none" w:sz="0" w:space="0" w:color="auto"/>
        <w:left w:val="none" w:sz="0" w:space="0" w:color="auto"/>
        <w:bottom w:val="none" w:sz="0" w:space="0" w:color="auto"/>
        <w:right w:val="none" w:sz="0" w:space="0" w:color="auto"/>
      </w:divBdr>
    </w:div>
    <w:div w:id="11727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ESSA@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federal_programs/esea/virginia-essa-plan-amendment-2-redlin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135-19.docx" TargetMode="External"/><Relationship Id="rId5" Type="http://schemas.openxmlformats.org/officeDocument/2006/relationships/webSettings" Target="webSettings.xml"/><Relationship Id="rId15" Type="http://schemas.openxmlformats.org/officeDocument/2006/relationships/hyperlink" Target="mailto:ESSA@doe.virginia.gov" TargetMode="External"/><Relationship Id="rId10" Type="http://schemas.openxmlformats.org/officeDocument/2006/relationships/hyperlink" Target="http://www.doe.virginia.gov/administrators/superintendents_memos/2019/127-19.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sonya.broady@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7859-9227-4CDD-9A6B-D37E1235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Superintendent's Memo 019-19</vt:lpstr>
    </vt:vector>
  </TitlesOfParts>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019-19</dc:title>
  <dc:creator/>
  <cp:lastModifiedBy/>
  <cp:revision>1</cp:revision>
  <dcterms:created xsi:type="dcterms:W3CDTF">2019-07-11T20:00:00Z</dcterms:created>
  <dcterms:modified xsi:type="dcterms:W3CDTF">2019-07-11T20:00:00Z</dcterms:modified>
</cp:coreProperties>
</file>