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40" w:rsidRPr="00765331" w:rsidRDefault="00556940" w:rsidP="00556940">
      <w:pPr>
        <w:pStyle w:val="Heading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5331">
        <w:rPr>
          <w:rFonts w:ascii="Times New Roman" w:hAnsi="Times New Roman" w:cs="Times New Roman"/>
          <w:b w:val="0"/>
          <w:color w:val="auto"/>
          <w:sz w:val="24"/>
          <w:szCs w:val="24"/>
        </w:rPr>
        <w:t>Superintendent’s Memo #</w:t>
      </w:r>
      <w:bookmarkStart w:id="0" w:name="_GoBack"/>
      <w:r w:rsidR="008D0A33">
        <w:rPr>
          <w:rFonts w:ascii="Times New Roman" w:hAnsi="Times New Roman" w:cs="Times New Roman"/>
          <w:b w:val="0"/>
          <w:color w:val="auto"/>
          <w:sz w:val="24"/>
          <w:szCs w:val="24"/>
        </w:rPr>
        <w:t>144</w:t>
      </w:r>
      <w:r w:rsidRPr="00765331">
        <w:rPr>
          <w:rFonts w:ascii="Times New Roman" w:hAnsi="Times New Roman" w:cs="Times New Roman"/>
          <w:b w:val="0"/>
          <w:color w:val="auto"/>
          <w:sz w:val="24"/>
          <w:szCs w:val="24"/>
        </w:rPr>
        <w:t>-19</w:t>
      </w:r>
      <w:bookmarkEnd w:id="0"/>
    </w:p>
    <w:p w:rsidR="00566DBB" w:rsidRDefault="00556940" w:rsidP="0055694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670D9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0FADC80" wp14:editId="12EA0174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0D9">
        <w:rPr>
          <w:rFonts w:ascii="Times New Roman" w:hAnsi="Times New Roman" w:cs="Times New Roman"/>
          <w:szCs w:val="24"/>
        </w:rPr>
        <w:br/>
      </w:r>
      <w:r w:rsidRPr="0044593F">
        <w:rPr>
          <w:rStyle w:val="Strong"/>
          <w:rFonts w:ascii="Times New Roman" w:hAnsi="Times New Roman" w:cs="Times New Roman"/>
          <w:color w:val="000000"/>
          <w:sz w:val="24"/>
          <w:szCs w:val="24"/>
        </w:rPr>
        <w:t>COMMONWEALTH of VIRGINIA</w:t>
      </w:r>
      <w:r w:rsidRPr="0044593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4593F">
        <w:rPr>
          <w:rStyle w:val="Strong"/>
          <w:rFonts w:ascii="Times New Roman" w:hAnsi="Times New Roman" w:cs="Times New Roman"/>
          <w:color w:val="000000"/>
          <w:sz w:val="24"/>
          <w:szCs w:val="24"/>
        </w:rPr>
        <w:t>Department of Education</w:t>
      </w:r>
      <w:r w:rsidR="00566DBB" w:rsidRPr="00F670D9">
        <w:rPr>
          <w:rStyle w:val="Strong"/>
          <w:color w:val="000000"/>
          <w:sz w:val="24"/>
          <w:szCs w:val="24"/>
        </w:rPr>
        <w:br/>
      </w:r>
    </w:p>
    <w:p w:rsidR="001473BE" w:rsidRPr="00566DBB" w:rsidRDefault="001473BE" w:rsidP="00566D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66DBB" w:rsidRDefault="00566DBB" w:rsidP="00566DBB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56">
        <w:rPr>
          <w:rFonts w:ascii="Times New Roman" w:hAnsi="Times New Roman" w:cs="Times New Roman"/>
          <w:sz w:val="24"/>
          <w:szCs w:val="24"/>
        </w:rPr>
        <w:t>DATE:</w:t>
      </w:r>
      <w:r w:rsidRPr="007C7856">
        <w:rPr>
          <w:rFonts w:ascii="Times New Roman" w:hAnsi="Times New Roman" w:cs="Times New Roman"/>
          <w:sz w:val="24"/>
          <w:szCs w:val="24"/>
        </w:rPr>
        <w:tab/>
      </w:r>
      <w:r w:rsidR="00B8699C">
        <w:rPr>
          <w:rFonts w:ascii="Times New Roman" w:hAnsi="Times New Roman" w:cs="Times New Roman"/>
          <w:sz w:val="24"/>
          <w:szCs w:val="24"/>
        </w:rPr>
        <w:t xml:space="preserve">June </w:t>
      </w:r>
      <w:r w:rsidR="00621C19">
        <w:rPr>
          <w:rFonts w:ascii="Times New Roman" w:hAnsi="Times New Roman" w:cs="Times New Roman"/>
          <w:sz w:val="24"/>
          <w:szCs w:val="24"/>
        </w:rPr>
        <w:t>21</w:t>
      </w:r>
      <w:r w:rsidRPr="007C7856">
        <w:rPr>
          <w:rFonts w:ascii="Times New Roman" w:hAnsi="Times New Roman" w:cs="Times New Roman"/>
          <w:sz w:val="24"/>
          <w:szCs w:val="24"/>
        </w:rPr>
        <w:t>, 2019</w:t>
      </w:r>
    </w:p>
    <w:p w:rsidR="00566DBB" w:rsidRPr="00566DBB" w:rsidRDefault="00566DBB" w:rsidP="00566DBB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66DBB" w:rsidRDefault="00566DBB" w:rsidP="00566DBB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56">
        <w:rPr>
          <w:rFonts w:ascii="Times New Roman" w:hAnsi="Times New Roman" w:cs="Times New Roman"/>
          <w:sz w:val="24"/>
          <w:szCs w:val="24"/>
        </w:rPr>
        <w:t xml:space="preserve">TO: </w:t>
      </w:r>
      <w:r w:rsidRPr="007C7856">
        <w:rPr>
          <w:rFonts w:ascii="Times New Roman" w:hAnsi="Times New Roman" w:cs="Times New Roman"/>
          <w:sz w:val="24"/>
          <w:szCs w:val="24"/>
        </w:rPr>
        <w:tab/>
        <w:t>Division Superintendents</w:t>
      </w:r>
    </w:p>
    <w:p w:rsidR="00566DBB" w:rsidRPr="00566DBB" w:rsidRDefault="00566DBB" w:rsidP="00566DBB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66DBB" w:rsidRDefault="00566DBB" w:rsidP="00566DBB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56">
        <w:rPr>
          <w:rFonts w:ascii="Times New Roman" w:hAnsi="Times New Roman" w:cs="Times New Roman"/>
          <w:sz w:val="24"/>
          <w:szCs w:val="24"/>
        </w:rPr>
        <w:t xml:space="preserve">FROM: </w:t>
      </w:r>
      <w:r w:rsidRPr="007C7856">
        <w:rPr>
          <w:rFonts w:ascii="Times New Roman" w:hAnsi="Times New Roman" w:cs="Times New Roman"/>
          <w:sz w:val="24"/>
          <w:szCs w:val="24"/>
        </w:rPr>
        <w:tab/>
      </w:r>
      <w:r w:rsidRPr="007C7856">
        <w:rPr>
          <w:rFonts w:ascii="Times New Roman" w:hAnsi="Times New Roman" w:cs="Times New Roman"/>
          <w:color w:val="000000"/>
          <w:sz w:val="24"/>
          <w:szCs w:val="24"/>
        </w:rPr>
        <w:t>James F. Lane</w:t>
      </w:r>
      <w:r w:rsidRPr="007C78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C7856">
        <w:rPr>
          <w:rFonts w:ascii="Times New Roman" w:hAnsi="Times New Roman" w:cs="Times New Roman"/>
          <w:color w:val="000000"/>
          <w:sz w:val="24"/>
          <w:szCs w:val="24"/>
        </w:rPr>
        <w:t>Ed.D</w:t>
      </w:r>
      <w:proofErr w:type="spellEnd"/>
      <w:r w:rsidR="00AD71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261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AD71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7856">
        <w:rPr>
          <w:rFonts w:ascii="Times New Roman" w:hAnsi="Times New Roman" w:cs="Times New Roman"/>
          <w:sz w:val="24"/>
          <w:szCs w:val="24"/>
        </w:rPr>
        <w:t>Superintendent of Public Instruction</w:t>
      </w:r>
    </w:p>
    <w:p w:rsidR="00566DBB" w:rsidRPr="00566DBB" w:rsidRDefault="00566DBB" w:rsidP="00566DBB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4B61" w:rsidRPr="00566DBB" w:rsidRDefault="00566DBB" w:rsidP="00566DBB">
      <w:pPr>
        <w:pStyle w:val="Heading2"/>
        <w:tabs>
          <w:tab w:val="left" w:pos="1800"/>
        </w:tabs>
        <w:spacing w:before="0" w:line="240" w:lineRule="auto"/>
        <w:ind w:left="1800" w:hanging="1800"/>
        <w:rPr>
          <w:rFonts w:ascii="Times New Roman" w:hAnsi="Times New Roman" w:cs="Times New Roman"/>
          <w:color w:val="auto"/>
          <w:sz w:val="24"/>
          <w:szCs w:val="24"/>
        </w:rPr>
      </w:pPr>
      <w:r w:rsidRPr="007C7856">
        <w:rPr>
          <w:rFonts w:ascii="Times New Roman" w:hAnsi="Times New Roman" w:cs="Times New Roman"/>
          <w:color w:val="auto"/>
          <w:sz w:val="24"/>
          <w:szCs w:val="24"/>
        </w:rPr>
        <w:t xml:space="preserve">SUBJECT: </w:t>
      </w:r>
      <w:r w:rsidRPr="007C785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D4349" w:rsidRPr="003D4349">
        <w:rPr>
          <w:rFonts w:ascii="Times New Roman" w:hAnsi="Times New Roman" w:cs="Times New Roman"/>
          <w:color w:val="auto"/>
          <w:sz w:val="24"/>
          <w:szCs w:val="24"/>
        </w:rPr>
        <w:t>Fiscal Year 2019 Career and Technical Education Occupational Preparation and Adult Education Entitlements (State Lottery Funds)</w:t>
      </w:r>
    </w:p>
    <w:p w:rsidR="009D29A4" w:rsidRPr="00566DBB" w:rsidRDefault="009D29A4" w:rsidP="00566DBB">
      <w:pPr>
        <w:pStyle w:val="NoSpacing"/>
        <w:contextualSpacing/>
        <w:rPr>
          <w:rFonts w:ascii="Times New Roman" w:hAnsi="Times New Roman" w:cs="Times New Roman"/>
          <w:sz w:val="16"/>
          <w:szCs w:val="16"/>
        </w:rPr>
      </w:pPr>
    </w:p>
    <w:p w:rsidR="003D4349" w:rsidRPr="003D4349" w:rsidRDefault="003D4349" w:rsidP="003D4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349">
        <w:rPr>
          <w:rFonts w:ascii="Times New Roman" w:hAnsi="Times New Roman" w:cs="Times New Roman"/>
          <w:sz w:val="24"/>
          <w:szCs w:val="24"/>
        </w:rPr>
        <w:t xml:space="preserve">The fiscal year 2019 state entitlements for Career and Technical Education (CTE) occupational preparation and adult education for each school division, including regional center entitlements, </w:t>
      </w:r>
      <w:proofErr w:type="gramStart"/>
      <w:r w:rsidRPr="003D4349">
        <w:rPr>
          <w:rFonts w:ascii="Times New Roman" w:hAnsi="Times New Roman" w:cs="Times New Roman"/>
          <w:sz w:val="24"/>
          <w:szCs w:val="24"/>
        </w:rPr>
        <w:t>are identified</w:t>
      </w:r>
      <w:proofErr w:type="gramEnd"/>
      <w:r w:rsidRPr="003D4349">
        <w:rPr>
          <w:rFonts w:ascii="Times New Roman" w:hAnsi="Times New Roman" w:cs="Times New Roman"/>
          <w:sz w:val="24"/>
          <w:szCs w:val="24"/>
        </w:rPr>
        <w:t xml:space="preserve"> in </w:t>
      </w:r>
      <w:hyperlink r:id="rId7" w:history="1">
        <w:r w:rsidRPr="003D4349">
          <w:rPr>
            <w:rStyle w:val="Hyperlink"/>
            <w:rFonts w:ascii="Times New Roman" w:hAnsi="Times New Roman" w:cs="Times New Roman"/>
            <w:sz w:val="24"/>
            <w:szCs w:val="24"/>
          </w:rPr>
          <w:t>Attachment A</w:t>
        </w:r>
      </w:hyperlink>
      <w:r w:rsidR="007362DD">
        <w:rPr>
          <w:rFonts w:ascii="Times New Roman" w:hAnsi="Times New Roman" w:cs="Times New Roman"/>
          <w:sz w:val="24"/>
          <w:szCs w:val="24"/>
        </w:rPr>
        <w:t xml:space="preserve">. </w:t>
      </w:r>
      <w:r w:rsidRPr="003D4349">
        <w:rPr>
          <w:rFonts w:ascii="Times New Roman" w:hAnsi="Times New Roman" w:cs="Times New Roman"/>
          <w:sz w:val="24"/>
          <w:szCs w:val="24"/>
        </w:rPr>
        <w:t xml:space="preserve">The regional center entitlements </w:t>
      </w:r>
      <w:proofErr w:type="gramStart"/>
      <w:r w:rsidRPr="003D4349">
        <w:rPr>
          <w:rFonts w:ascii="Times New Roman" w:hAnsi="Times New Roman" w:cs="Times New Roman"/>
          <w:sz w:val="24"/>
          <w:szCs w:val="24"/>
        </w:rPr>
        <w:t>will be paid</w:t>
      </w:r>
      <w:proofErr w:type="gramEnd"/>
      <w:r w:rsidRPr="003D4349">
        <w:rPr>
          <w:rFonts w:ascii="Times New Roman" w:hAnsi="Times New Roman" w:cs="Times New Roman"/>
          <w:sz w:val="24"/>
          <w:szCs w:val="24"/>
        </w:rPr>
        <w:t xml:space="preserve"> directly to each center’s</w:t>
      </w:r>
      <w:r w:rsidR="007362DD">
        <w:rPr>
          <w:rFonts w:ascii="Times New Roman" w:hAnsi="Times New Roman" w:cs="Times New Roman"/>
          <w:sz w:val="24"/>
          <w:szCs w:val="24"/>
        </w:rPr>
        <w:t xml:space="preserve"> fiscal agent school division. </w:t>
      </w:r>
      <w:r w:rsidRPr="003D4349">
        <w:rPr>
          <w:rFonts w:ascii="Times New Roman" w:hAnsi="Times New Roman" w:cs="Times New Roman"/>
          <w:sz w:val="24"/>
          <w:szCs w:val="24"/>
        </w:rPr>
        <w:t xml:space="preserve">The amounts identified in Attachment A </w:t>
      </w:r>
      <w:proofErr w:type="gramStart"/>
      <w:r w:rsidRPr="003D4349">
        <w:rPr>
          <w:rFonts w:ascii="Times New Roman" w:hAnsi="Times New Roman" w:cs="Times New Roman"/>
          <w:sz w:val="24"/>
          <w:szCs w:val="24"/>
        </w:rPr>
        <w:t>will be paid</w:t>
      </w:r>
      <w:proofErr w:type="gramEnd"/>
      <w:r w:rsidRPr="003D4349">
        <w:rPr>
          <w:rFonts w:ascii="Times New Roman" w:hAnsi="Times New Roman" w:cs="Times New Roman"/>
          <w:sz w:val="24"/>
          <w:szCs w:val="24"/>
        </w:rPr>
        <w:t xml:space="preserve"> to school divisions in one payment on June 30, 2019</w:t>
      </w:r>
      <w:r w:rsidR="007362DD">
        <w:rPr>
          <w:rFonts w:ascii="Times New Roman" w:hAnsi="Times New Roman" w:cs="Times New Roman"/>
          <w:sz w:val="24"/>
          <w:szCs w:val="24"/>
        </w:rPr>
        <w:t>, by electronic funds transfer.</w:t>
      </w:r>
      <w:r w:rsidRPr="003D4349">
        <w:rPr>
          <w:rFonts w:ascii="Times New Roman" w:hAnsi="Times New Roman" w:cs="Times New Roman"/>
          <w:sz w:val="24"/>
          <w:szCs w:val="24"/>
        </w:rPr>
        <w:t xml:space="preserve"> In fiscal year 2019, these entitlement payments are funded with state lottery funds.</w:t>
      </w:r>
    </w:p>
    <w:p w:rsidR="003D4349" w:rsidRPr="003D4349" w:rsidRDefault="003D4349" w:rsidP="003D4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349" w:rsidRPr="003D4349" w:rsidRDefault="003D4349" w:rsidP="003D4349">
      <w:pPr>
        <w:pStyle w:val="BodyText"/>
        <w:rPr>
          <w:rFonts w:ascii="Times New Roman" w:hAnsi="Times New Roman" w:cs="Times New Roman"/>
          <w:szCs w:val="24"/>
        </w:rPr>
      </w:pPr>
      <w:r w:rsidRPr="003D4349">
        <w:rPr>
          <w:rFonts w:ascii="Times New Roman" w:hAnsi="Times New Roman" w:cs="Times New Roman"/>
          <w:szCs w:val="24"/>
        </w:rPr>
        <w:t xml:space="preserve">State funds distributed to eligible school divisions </w:t>
      </w:r>
      <w:proofErr w:type="gramStart"/>
      <w:r w:rsidRPr="003D4349">
        <w:rPr>
          <w:rFonts w:ascii="Times New Roman" w:hAnsi="Times New Roman" w:cs="Times New Roman"/>
          <w:szCs w:val="24"/>
        </w:rPr>
        <w:t>are based</w:t>
      </w:r>
      <w:proofErr w:type="gramEnd"/>
      <w:r w:rsidRPr="003D4349">
        <w:rPr>
          <w:rFonts w:ascii="Times New Roman" w:hAnsi="Times New Roman" w:cs="Times New Roman"/>
          <w:szCs w:val="24"/>
        </w:rPr>
        <w:t xml:space="preserve"> upon actual expenditures from the prior fiscal year and the total funds appropriated by the General Assembly for CTE occupational preparation</w:t>
      </w:r>
      <w:r w:rsidR="007362DD">
        <w:rPr>
          <w:rFonts w:ascii="Times New Roman" w:hAnsi="Times New Roman" w:cs="Times New Roman"/>
          <w:szCs w:val="24"/>
        </w:rPr>
        <w:t xml:space="preserve"> and adult education programs. </w:t>
      </w:r>
      <w:r w:rsidRPr="003D4349">
        <w:rPr>
          <w:rFonts w:ascii="Times New Roman" w:hAnsi="Times New Roman" w:cs="Times New Roman"/>
          <w:szCs w:val="24"/>
        </w:rPr>
        <w:t>To determine each school division’s fiscal year 2019 allocation for CTE occupational preparation and adult education programs, state funding is divided by the total school year 2017-2018 occupational p</w:t>
      </w:r>
      <w:r w:rsidR="007362DD">
        <w:rPr>
          <w:rFonts w:ascii="Times New Roman" w:hAnsi="Times New Roman" w:cs="Times New Roman"/>
          <w:szCs w:val="24"/>
        </w:rPr>
        <w:t xml:space="preserve">reparation and adult education </w:t>
      </w:r>
      <w:r w:rsidRPr="003D4349">
        <w:rPr>
          <w:rFonts w:ascii="Times New Roman" w:hAnsi="Times New Roman" w:cs="Times New Roman"/>
          <w:szCs w:val="24"/>
        </w:rPr>
        <w:t>local funds expenditures to determine the reimbursement percentage for each program.</w:t>
      </w:r>
    </w:p>
    <w:p w:rsidR="003D4349" w:rsidRPr="003D4349" w:rsidRDefault="003D4349" w:rsidP="003D4349">
      <w:pPr>
        <w:pStyle w:val="BodyText"/>
        <w:rPr>
          <w:rFonts w:ascii="Times New Roman" w:hAnsi="Times New Roman" w:cs="Times New Roman"/>
          <w:szCs w:val="24"/>
        </w:rPr>
      </w:pPr>
    </w:p>
    <w:p w:rsidR="003D4349" w:rsidRPr="003D4349" w:rsidRDefault="003D4349" w:rsidP="003D4349">
      <w:pPr>
        <w:pStyle w:val="BodyText"/>
        <w:rPr>
          <w:rFonts w:ascii="Times New Roman" w:hAnsi="Times New Roman" w:cs="Times New Roman"/>
          <w:szCs w:val="24"/>
        </w:rPr>
      </w:pPr>
      <w:r w:rsidRPr="003D4349">
        <w:rPr>
          <w:rFonts w:ascii="Times New Roman" w:hAnsi="Times New Roman" w:cs="Times New Roman"/>
          <w:szCs w:val="24"/>
        </w:rPr>
        <w:t xml:space="preserve">For fiscal year 2019, it has been determined that each eligible school division will be reimbursed for </w:t>
      </w:r>
      <w:r w:rsidR="00335AB8">
        <w:rPr>
          <w:rFonts w:ascii="Times New Roman" w:hAnsi="Times New Roman" w:cs="Times New Roman"/>
          <w:szCs w:val="24"/>
        </w:rPr>
        <w:t>45.84</w:t>
      </w:r>
      <w:r w:rsidRPr="003D4349">
        <w:rPr>
          <w:rFonts w:ascii="Times New Roman" w:hAnsi="Times New Roman" w:cs="Times New Roman"/>
          <w:szCs w:val="24"/>
        </w:rPr>
        <w:t xml:space="preserve"> percent of its school year 2017-2018 CTE occupational preparation expenditures and </w:t>
      </w:r>
      <w:r w:rsidR="00335AB8">
        <w:rPr>
          <w:rFonts w:ascii="Times New Roman" w:hAnsi="Times New Roman" w:cs="Times New Roman"/>
          <w:szCs w:val="24"/>
        </w:rPr>
        <w:t>45.84</w:t>
      </w:r>
      <w:r w:rsidRPr="003D4349">
        <w:rPr>
          <w:rFonts w:ascii="Times New Roman" w:hAnsi="Times New Roman" w:cs="Times New Roman"/>
          <w:szCs w:val="24"/>
        </w:rPr>
        <w:t xml:space="preserve"> percent of its CTE adult e</w:t>
      </w:r>
      <w:r w:rsidR="007362DD">
        <w:rPr>
          <w:rFonts w:ascii="Times New Roman" w:hAnsi="Times New Roman" w:cs="Times New Roman"/>
          <w:szCs w:val="24"/>
        </w:rPr>
        <w:t xml:space="preserve">ducation program expenditures. </w:t>
      </w:r>
      <w:r w:rsidRPr="003D4349">
        <w:rPr>
          <w:rFonts w:ascii="Times New Roman" w:hAnsi="Times New Roman" w:cs="Times New Roman"/>
          <w:szCs w:val="24"/>
        </w:rPr>
        <w:t>Those school divisions that did not operate these programs in school year 2017-2018 and did not record any local fund expenditures are not eligible to receive any state reimbursement in fiscal year 2019.</w:t>
      </w:r>
    </w:p>
    <w:p w:rsidR="003D4349" w:rsidRPr="003D4349" w:rsidRDefault="003D4349" w:rsidP="003D4349">
      <w:pPr>
        <w:pStyle w:val="BodyText"/>
        <w:rPr>
          <w:rFonts w:ascii="Times New Roman" w:hAnsi="Times New Roman" w:cs="Times New Roman"/>
          <w:szCs w:val="24"/>
        </w:rPr>
      </w:pPr>
    </w:p>
    <w:p w:rsidR="00675980" w:rsidRDefault="003D4349" w:rsidP="003D4349">
      <w:pPr>
        <w:pStyle w:val="BodyText"/>
        <w:rPr>
          <w:rFonts w:ascii="Times New Roman" w:hAnsi="Times New Roman" w:cs="Times New Roman"/>
          <w:szCs w:val="24"/>
        </w:rPr>
      </w:pPr>
      <w:r w:rsidRPr="003D4349">
        <w:rPr>
          <w:rFonts w:ascii="Times New Roman" w:hAnsi="Times New Roman" w:cs="Times New Roman"/>
          <w:szCs w:val="24"/>
        </w:rPr>
        <w:t xml:space="preserve">If you have questions concerning the state entitlements, please contact </w:t>
      </w:r>
      <w:r w:rsidR="00675980">
        <w:rPr>
          <w:rFonts w:ascii="Times New Roman" w:hAnsi="Times New Roman" w:cs="Times New Roman"/>
          <w:szCs w:val="24"/>
        </w:rPr>
        <w:t xml:space="preserve">the </w:t>
      </w:r>
      <w:r w:rsidRPr="003D4349">
        <w:rPr>
          <w:rFonts w:ascii="Times New Roman" w:hAnsi="Times New Roman" w:cs="Times New Roman"/>
          <w:szCs w:val="24"/>
        </w:rPr>
        <w:t>Office of Career, Technical, and Adult Education</w:t>
      </w:r>
      <w:r w:rsidR="00675980">
        <w:rPr>
          <w:rFonts w:ascii="Times New Roman" w:hAnsi="Times New Roman" w:cs="Times New Roman"/>
          <w:szCs w:val="24"/>
        </w:rPr>
        <w:t xml:space="preserve"> staff</w:t>
      </w:r>
      <w:r w:rsidRPr="003D4349">
        <w:rPr>
          <w:rFonts w:ascii="Times New Roman" w:hAnsi="Times New Roman" w:cs="Times New Roman"/>
          <w:szCs w:val="24"/>
        </w:rPr>
        <w:t xml:space="preserve">, at </w:t>
      </w:r>
      <w:hyperlink r:id="rId8" w:history="1">
        <w:r w:rsidRPr="003D4349">
          <w:rPr>
            <w:rStyle w:val="Hyperlink"/>
            <w:rFonts w:ascii="Times New Roman" w:hAnsi="Times New Roman" w:cs="Times New Roman"/>
            <w:szCs w:val="24"/>
          </w:rPr>
          <w:t>cte@doe.virginia.gov</w:t>
        </w:r>
      </w:hyperlink>
      <w:r w:rsidRPr="003D4349">
        <w:rPr>
          <w:rFonts w:ascii="Times New Roman" w:hAnsi="Times New Roman" w:cs="Times New Roman"/>
          <w:szCs w:val="24"/>
        </w:rPr>
        <w:t xml:space="preserve"> or by telephone at </w:t>
      </w:r>
    </w:p>
    <w:p w:rsidR="003D4349" w:rsidRPr="003D4349" w:rsidRDefault="003D4349" w:rsidP="003D4349">
      <w:pPr>
        <w:pStyle w:val="BodyText"/>
        <w:rPr>
          <w:rFonts w:ascii="Times New Roman" w:hAnsi="Times New Roman" w:cs="Times New Roman"/>
          <w:szCs w:val="24"/>
        </w:rPr>
      </w:pPr>
      <w:r w:rsidRPr="003D4349">
        <w:rPr>
          <w:rFonts w:ascii="Times New Roman" w:hAnsi="Times New Roman" w:cs="Times New Roman"/>
          <w:szCs w:val="24"/>
        </w:rPr>
        <w:t>(804) 225-2052.</w:t>
      </w:r>
    </w:p>
    <w:p w:rsidR="003D4349" w:rsidRDefault="003D4349" w:rsidP="00566DBB">
      <w:pPr>
        <w:pStyle w:val="NoSpacing"/>
        <w:contextualSpacing/>
        <w:rPr>
          <w:sz w:val="24"/>
        </w:rPr>
      </w:pPr>
    </w:p>
    <w:p w:rsidR="00BE4B61" w:rsidRDefault="00FE0665" w:rsidP="00566DBB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566DBB">
        <w:rPr>
          <w:rFonts w:ascii="Times New Roman" w:hAnsi="Times New Roman" w:cs="Times New Roman"/>
          <w:sz w:val="24"/>
          <w:szCs w:val="24"/>
        </w:rPr>
        <w:t>JFL</w:t>
      </w:r>
      <w:r w:rsidR="00F73B04" w:rsidRPr="00566DBB">
        <w:rPr>
          <w:rFonts w:ascii="Times New Roman" w:hAnsi="Times New Roman" w:cs="Times New Roman"/>
          <w:sz w:val="24"/>
          <w:szCs w:val="24"/>
        </w:rPr>
        <w:t>/GRW</w:t>
      </w:r>
      <w:r w:rsidR="00886A8E" w:rsidRPr="00566DBB">
        <w:rPr>
          <w:rFonts w:ascii="Times New Roman" w:hAnsi="Times New Roman" w:cs="Times New Roman"/>
          <w:sz w:val="24"/>
          <w:szCs w:val="24"/>
        </w:rPr>
        <w:t>/</w:t>
      </w:r>
      <w:r w:rsidR="00871A05">
        <w:rPr>
          <w:rFonts w:ascii="Times New Roman" w:hAnsi="Times New Roman" w:cs="Times New Roman"/>
          <w:sz w:val="24"/>
          <w:szCs w:val="24"/>
        </w:rPr>
        <w:t>aab</w:t>
      </w:r>
    </w:p>
    <w:p w:rsidR="003D4349" w:rsidRDefault="003D4349" w:rsidP="00566DBB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3D4349" w:rsidRDefault="003D4349" w:rsidP="00566DBB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</w:t>
      </w:r>
    </w:p>
    <w:p w:rsidR="00385C47" w:rsidRDefault="00385C47" w:rsidP="00566DBB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385C47" w:rsidRPr="00385C47" w:rsidRDefault="007362DD" w:rsidP="00385C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85C47" w:rsidRPr="008D0A33">
          <w:rPr>
            <w:rStyle w:val="Hyperlink"/>
            <w:rFonts w:ascii="Times New Roman" w:hAnsi="Times New Roman" w:cs="Times New Roman"/>
            <w:sz w:val="24"/>
            <w:szCs w:val="24"/>
          </w:rPr>
          <w:t>CTE School Division Entitlement Payments from State Lottery Funds – Fiscal Year 2019</w:t>
        </w:r>
      </w:hyperlink>
      <w:r w:rsidR="00385C47" w:rsidRPr="00385C47">
        <w:rPr>
          <w:rFonts w:ascii="Times New Roman" w:hAnsi="Times New Roman" w:cs="Times New Roman"/>
          <w:sz w:val="24"/>
          <w:szCs w:val="24"/>
        </w:rPr>
        <w:t xml:space="preserve"> (Word)</w:t>
      </w:r>
    </w:p>
    <w:sectPr w:rsidR="00385C47" w:rsidRPr="00385C47" w:rsidSect="001473BE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55882"/>
    <w:multiLevelType w:val="hybridMultilevel"/>
    <w:tmpl w:val="552040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F1378"/>
    <w:multiLevelType w:val="hybridMultilevel"/>
    <w:tmpl w:val="9058E9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83957"/>
    <w:multiLevelType w:val="hybridMultilevel"/>
    <w:tmpl w:val="FE2C9BC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8F"/>
    <w:rsid w:val="00005D9C"/>
    <w:rsid w:val="00007575"/>
    <w:rsid w:val="00043FE5"/>
    <w:rsid w:val="000556DB"/>
    <w:rsid w:val="000657C5"/>
    <w:rsid w:val="00066775"/>
    <w:rsid w:val="000A1AB4"/>
    <w:rsid w:val="000E3DDA"/>
    <w:rsid w:val="000F7CE3"/>
    <w:rsid w:val="00105A81"/>
    <w:rsid w:val="00112FF1"/>
    <w:rsid w:val="001165E2"/>
    <w:rsid w:val="001473BE"/>
    <w:rsid w:val="001619A1"/>
    <w:rsid w:val="00183AA9"/>
    <w:rsid w:val="001C5E38"/>
    <w:rsid w:val="002156B5"/>
    <w:rsid w:val="00222D5F"/>
    <w:rsid w:val="00245AF8"/>
    <w:rsid w:val="002464DC"/>
    <w:rsid w:val="002C5B8F"/>
    <w:rsid w:val="002E7C54"/>
    <w:rsid w:val="002F5735"/>
    <w:rsid w:val="00300788"/>
    <w:rsid w:val="00317AEC"/>
    <w:rsid w:val="00335AB8"/>
    <w:rsid w:val="003674C6"/>
    <w:rsid w:val="00367D9B"/>
    <w:rsid w:val="0037714C"/>
    <w:rsid w:val="00385C47"/>
    <w:rsid w:val="003A13DC"/>
    <w:rsid w:val="003A6505"/>
    <w:rsid w:val="003B5183"/>
    <w:rsid w:val="003D4349"/>
    <w:rsid w:val="003D7A6E"/>
    <w:rsid w:val="00413C0C"/>
    <w:rsid w:val="0044224B"/>
    <w:rsid w:val="004459C0"/>
    <w:rsid w:val="00491432"/>
    <w:rsid w:val="004A5F17"/>
    <w:rsid w:val="00505706"/>
    <w:rsid w:val="00532985"/>
    <w:rsid w:val="00556940"/>
    <w:rsid w:val="00566482"/>
    <w:rsid w:val="00566DBB"/>
    <w:rsid w:val="0057062C"/>
    <w:rsid w:val="00621C19"/>
    <w:rsid w:val="00627130"/>
    <w:rsid w:val="00675980"/>
    <w:rsid w:val="006816A1"/>
    <w:rsid w:val="00695184"/>
    <w:rsid w:val="0069601A"/>
    <w:rsid w:val="006F1B37"/>
    <w:rsid w:val="006F312E"/>
    <w:rsid w:val="00713A7A"/>
    <w:rsid w:val="00720C81"/>
    <w:rsid w:val="007362DD"/>
    <w:rsid w:val="0079356D"/>
    <w:rsid w:val="00796A8D"/>
    <w:rsid w:val="007A7567"/>
    <w:rsid w:val="007D6997"/>
    <w:rsid w:val="00800BD8"/>
    <w:rsid w:val="008222B1"/>
    <w:rsid w:val="00835D0F"/>
    <w:rsid w:val="00861BCE"/>
    <w:rsid w:val="00871A05"/>
    <w:rsid w:val="00872679"/>
    <w:rsid w:val="00886A8E"/>
    <w:rsid w:val="008C644F"/>
    <w:rsid w:val="008D0A33"/>
    <w:rsid w:val="008E184F"/>
    <w:rsid w:val="008E5C9C"/>
    <w:rsid w:val="0094455F"/>
    <w:rsid w:val="00944CFA"/>
    <w:rsid w:val="009562B8"/>
    <w:rsid w:val="0097497D"/>
    <w:rsid w:val="00977E45"/>
    <w:rsid w:val="009938D9"/>
    <w:rsid w:val="009A1052"/>
    <w:rsid w:val="009A1B97"/>
    <w:rsid w:val="009A48FE"/>
    <w:rsid w:val="009C4173"/>
    <w:rsid w:val="009D1816"/>
    <w:rsid w:val="009D29A4"/>
    <w:rsid w:val="009F67D8"/>
    <w:rsid w:val="009F7E9D"/>
    <w:rsid w:val="00A14FF7"/>
    <w:rsid w:val="00A43E8D"/>
    <w:rsid w:val="00A501EF"/>
    <w:rsid w:val="00A74836"/>
    <w:rsid w:val="00AA0B93"/>
    <w:rsid w:val="00AB59BB"/>
    <w:rsid w:val="00AC5EA4"/>
    <w:rsid w:val="00AD5CB5"/>
    <w:rsid w:val="00AD7105"/>
    <w:rsid w:val="00AE1073"/>
    <w:rsid w:val="00B33F8F"/>
    <w:rsid w:val="00B46A94"/>
    <w:rsid w:val="00B8699C"/>
    <w:rsid w:val="00BB610A"/>
    <w:rsid w:val="00BC2612"/>
    <w:rsid w:val="00BC31E8"/>
    <w:rsid w:val="00BE4B61"/>
    <w:rsid w:val="00C057B7"/>
    <w:rsid w:val="00C26F2A"/>
    <w:rsid w:val="00C333CC"/>
    <w:rsid w:val="00C43425"/>
    <w:rsid w:val="00C759DB"/>
    <w:rsid w:val="00C91718"/>
    <w:rsid w:val="00CB7820"/>
    <w:rsid w:val="00CC0FE2"/>
    <w:rsid w:val="00CD314F"/>
    <w:rsid w:val="00CF1CE7"/>
    <w:rsid w:val="00D2443D"/>
    <w:rsid w:val="00D259F6"/>
    <w:rsid w:val="00D26072"/>
    <w:rsid w:val="00D40114"/>
    <w:rsid w:val="00D817AA"/>
    <w:rsid w:val="00D834E5"/>
    <w:rsid w:val="00D9008A"/>
    <w:rsid w:val="00DB7B0D"/>
    <w:rsid w:val="00DE3E43"/>
    <w:rsid w:val="00E12BA6"/>
    <w:rsid w:val="00E24AE2"/>
    <w:rsid w:val="00E33D60"/>
    <w:rsid w:val="00E34681"/>
    <w:rsid w:val="00E42611"/>
    <w:rsid w:val="00EC0312"/>
    <w:rsid w:val="00ED0067"/>
    <w:rsid w:val="00F14162"/>
    <w:rsid w:val="00F3035E"/>
    <w:rsid w:val="00F45026"/>
    <w:rsid w:val="00F52601"/>
    <w:rsid w:val="00F60A27"/>
    <w:rsid w:val="00F73B04"/>
    <w:rsid w:val="00F862E7"/>
    <w:rsid w:val="00F93554"/>
    <w:rsid w:val="00FA33FA"/>
    <w:rsid w:val="00FC7E19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99473"/>
  <w15:docId w15:val="{2A686007-DB53-4A88-99FF-134ACB0F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AE2"/>
  </w:style>
  <w:style w:type="paragraph" w:styleId="Heading1">
    <w:name w:val="heading 1"/>
    <w:basedOn w:val="Normal"/>
    <w:next w:val="Normal"/>
    <w:link w:val="Heading1Char"/>
    <w:uiPriority w:val="9"/>
    <w:qFormat/>
    <w:rsid w:val="00532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15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8D9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F93554"/>
    <w:rPr>
      <w:color w:val="0000FF"/>
      <w:u w:val="single"/>
    </w:rPr>
  </w:style>
  <w:style w:type="table" w:styleId="TableGrid">
    <w:name w:val="Table Grid"/>
    <w:basedOn w:val="TableNormal"/>
    <w:uiPriority w:val="59"/>
    <w:rsid w:val="00C91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AE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6072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156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532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566DB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DB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D4349"/>
    <w:pPr>
      <w:spacing w:after="0" w:line="240" w:lineRule="auto"/>
    </w:pPr>
    <w:rPr>
      <w:rFonts w:ascii="Courier New" w:eastAsia="Times New Roman" w:hAnsi="Courier New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D4349"/>
    <w:rPr>
      <w:rFonts w:ascii="Courier New" w:eastAsia="Times New Roman" w:hAnsi="Courier New" w:cs="Courier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e@doe.virgini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e.virginia.gov/administrators/superintendents_memos/2019/144-19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www.doe.virginia.gov/administrators/index.s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e.virginia.gov/administrators/superintendents_memos/2019/144-19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Summer Trade and Industrial Education Professional Development</vt:lpstr>
    </vt:vector>
  </TitlesOfParts>
  <Company>Virginia IT Infrastructure Partnership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Summer Trade and Industrial Education Professional Development</dc:title>
  <dc:creator>J. A. Williams</dc:creator>
  <cp:lastModifiedBy>Jennings, Laura (DOE)</cp:lastModifiedBy>
  <cp:revision>2</cp:revision>
  <cp:lastPrinted>2019-06-11T15:58:00Z</cp:lastPrinted>
  <dcterms:created xsi:type="dcterms:W3CDTF">2019-06-18T20:20:00Z</dcterms:created>
  <dcterms:modified xsi:type="dcterms:W3CDTF">2019-06-18T20:20:00Z</dcterms:modified>
</cp:coreProperties>
</file>