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950" w:rsidRPr="002F2AF8" w:rsidRDefault="00167950" w:rsidP="00167950">
      <w:pPr>
        <w:pStyle w:val="Heading1"/>
        <w:tabs>
          <w:tab w:val="left" w:pos="1440"/>
        </w:tabs>
        <w:rPr>
          <w:szCs w:val="24"/>
        </w:rPr>
      </w:pPr>
      <w:r w:rsidRPr="002F2AF8">
        <w:rPr>
          <w:szCs w:val="24"/>
        </w:rPr>
        <w:t>Superintendent’s Memo #</w:t>
      </w:r>
      <w:r w:rsidR="00F9518A">
        <w:rPr>
          <w:szCs w:val="24"/>
        </w:rPr>
        <w:t>065</w:t>
      </w:r>
      <w:r w:rsidR="00DE40C7">
        <w:rPr>
          <w:szCs w:val="24"/>
        </w:rPr>
        <w:t>-19</w:t>
      </w:r>
    </w:p>
    <w:p w:rsidR="00167950" w:rsidRPr="002F2AF8" w:rsidRDefault="00167950" w:rsidP="00167950">
      <w:pPr>
        <w:jc w:val="center"/>
        <w:rPr>
          <w:szCs w:val="24"/>
        </w:rPr>
      </w:pPr>
      <w:r w:rsidRPr="002F2AF8">
        <w:rPr>
          <w:noProof/>
          <w:szCs w:val="24"/>
        </w:rPr>
        <w:drawing>
          <wp:inline distT="0" distB="0" distL="0" distR="0" wp14:anchorId="0F47693F" wp14:editId="419D592C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AF8">
        <w:rPr>
          <w:szCs w:val="24"/>
        </w:rPr>
        <w:br/>
      </w:r>
      <w:r w:rsidRPr="002F2AF8">
        <w:rPr>
          <w:rStyle w:val="Strong"/>
          <w:color w:val="000000"/>
          <w:szCs w:val="24"/>
        </w:rPr>
        <w:t>COMMONWEALTH of VIRGINIA </w:t>
      </w:r>
      <w:r w:rsidRPr="002F2AF8">
        <w:rPr>
          <w:b/>
          <w:bCs/>
          <w:color w:val="000000"/>
          <w:szCs w:val="24"/>
        </w:rPr>
        <w:br/>
      </w:r>
      <w:r w:rsidRPr="002F2AF8">
        <w:rPr>
          <w:rStyle w:val="Strong"/>
          <w:color w:val="000000"/>
          <w:szCs w:val="24"/>
        </w:rPr>
        <w:t>Department of Education</w:t>
      </w:r>
      <w:r w:rsidR="002F2AF8">
        <w:rPr>
          <w:rStyle w:val="Strong"/>
          <w:color w:val="000000"/>
          <w:szCs w:val="24"/>
        </w:rPr>
        <w:br/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>DATE:</w:t>
      </w:r>
      <w:r w:rsidR="00D95780" w:rsidRPr="002F2AF8">
        <w:rPr>
          <w:szCs w:val="24"/>
        </w:rPr>
        <w:tab/>
      </w:r>
      <w:r w:rsidR="00727986">
        <w:rPr>
          <w:szCs w:val="24"/>
        </w:rPr>
        <w:t>March 22</w:t>
      </w:r>
      <w:r w:rsidR="0044224B">
        <w:rPr>
          <w:szCs w:val="24"/>
        </w:rPr>
        <w:t>, 2019</w:t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TO: </w:t>
      </w:r>
      <w:r w:rsidR="00D95780" w:rsidRPr="002F2AF8">
        <w:rPr>
          <w:szCs w:val="24"/>
        </w:rPr>
        <w:tab/>
      </w:r>
      <w:r w:rsidRPr="002F2AF8">
        <w:rPr>
          <w:szCs w:val="24"/>
        </w:rPr>
        <w:t>Division Superintendents</w:t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FROM: </w:t>
      </w:r>
      <w:r w:rsidR="00D95780" w:rsidRPr="002F2AF8">
        <w:rPr>
          <w:szCs w:val="24"/>
        </w:rPr>
        <w:tab/>
      </w:r>
      <w:r w:rsidRPr="002F2AF8">
        <w:rPr>
          <w:color w:val="000000"/>
          <w:szCs w:val="24"/>
        </w:rPr>
        <w:t>James F. Lane</w:t>
      </w:r>
      <w:r w:rsidRPr="002F2AF8">
        <w:rPr>
          <w:szCs w:val="24"/>
        </w:rPr>
        <w:t xml:space="preserve">, </w:t>
      </w:r>
      <w:r w:rsidR="00414707" w:rsidRPr="002F2AF8">
        <w:rPr>
          <w:color w:val="000000"/>
          <w:szCs w:val="24"/>
        </w:rPr>
        <w:t>Ed.D., </w:t>
      </w:r>
      <w:r w:rsidRPr="002F2AF8">
        <w:rPr>
          <w:szCs w:val="24"/>
        </w:rPr>
        <w:t>Superintendent of Public Instruction</w:t>
      </w:r>
    </w:p>
    <w:p w:rsidR="00167950" w:rsidRPr="002F2AF8" w:rsidRDefault="00167950" w:rsidP="00A81436">
      <w:pPr>
        <w:pStyle w:val="Heading2"/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SUBJECT: </w:t>
      </w:r>
      <w:r w:rsidR="00D95780" w:rsidRPr="002F2AF8">
        <w:rPr>
          <w:szCs w:val="24"/>
        </w:rPr>
        <w:tab/>
      </w:r>
      <w:bookmarkStart w:id="0" w:name="_GoBack"/>
      <w:r w:rsidR="0044224B" w:rsidRPr="004C29E7">
        <w:rPr>
          <w:szCs w:val="24"/>
        </w:rPr>
        <w:t xml:space="preserve">Flexibilities </w:t>
      </w:r>
      <w:r w:rsidR="00DE40C7" w:rsidRPr="004C29E7">
        <w:rPr>
          <w:szCs w:val="24"/>
        </w:rPr>
        <w:t>for Milk, Sodium, Whole Grains, and Sodium Requirements</w:t>
      </w:r>
      <w:bookmarkEnd w:id="0"/>
    </w:p>
    <w:p w:rsidR="00167950" w:rsidRDefault="00DE40C7" w:rsidP="00167950">
      <w:pPr>
        <w:rPr>
          <w:color w:val="000000"/>
          <w:szCs w:val="24"/>
        </w:rPr>
      </w:pPr>
      <w:r>
        <w:rPr>
          <w:color w:val="000000"/>
          <w:szCs w:val="24"/>
        </w:rPr>
        <w:t xml:space="preserve">On December 12, 2018, </w:t>
      </w:r>
      <w:r w:rsidR="008659C5">
        <w:rPr>
          <w:color w:val="000000"/>
          <w:szCs w:val="24"/>
        </w:rPr>
        <w:t xml:space="preserve">the </w:t>
      </w:r>
      <w:r w:rsidR="0044224B" w:rsidRPr="0044224B">
        <w:rPr>
          <w:color w:val="000000"/>
          <w:szCs w:val="24"/>
        </w:rPr>
        <w:t>United States Department of Agriculture</w:t>
      </w:r>
      <w:r w:rsidR="0044224B">
        <w:rPr>
          <w:color w:val="000000"/>
          <w:szCs w:val="24"/>
        </w:rPr>
        <w:t xml:space="preserve"> (</w:t>
      </w:r>
      <w:r>
        <w:rPr>
          <w:color w:val="000000"/>
          <w:szCs w:val="24"/>
        </w:rPr>
        <w:t>USDA</w:t>
      </w:r>
      <w:r w:rsidR="0044224B">
        <w:rPr>
          <w:color w:val="000000"/>
          <w:szCs w:val="24"/>
        </w:rPr>
        <w:t>)</w:t>
      </w:r>
      <w:r>
        <w:rPr>
          <w:color w:val="000000"/>
          <w:szCs w:val="24"/>
        </w:rPr>
        <w:t xml:space="preserve"> published the final rule that codifies </w:t>
      </w:r>
      <w:r w:rsidR="00F842B9">
        <w:rPr>
          <w:color w:val="000000"/>
          <w:szCs w:val="24"/>
        </w:rPr>
        <w:t xml:space="preserve">three </w:t>
      </w:r>
      <w:r>
        <w:rPr>
          <w:color w:val="000000"/>
          <w:szCs w:val="24"/>
        </w:rPr>
        <w:t>meal planning flexibilities made available in the National School Lunch Program (NSLP) a</w:t>
      </w:r>
      <w:r w:rsidR="0044224B">
        <w:rPr>
          <w:color w:val="000000"/>
          <w:szCs w:val="24"/>
        </w:rPr>
        <w:t xml:space="preserve">nd the School Breakfast Program </w:t>
      </w:r>
      <w:r>
        <w:rPr>
          <w:color w:val="000000"/>
          <w:szCs w:val="24"/>
        </w:rPr>
        <w:t xml:space="preserve">(SBP). </w:t>
      </w:r>
      <w:r w:rsidR="004822F9">
        <w:rPr>
          <w:color w:val="000000"/>
          <w:szCs w:val="24"/>
        </w:rPr>
        <w:t>These requirements will take effect on July 1, 2019</w:t>
      </w:r>
      <w:r w:rsidR="008659C5">
        <w:rPr>
          <w:color w:val="000000"/>
          <w:szCs w:val="24"/>
        </w:rPr>
        <w:t>,</w:t>
      </w:r>
      <w:r w:rsidR="004822F9">
        <w:rPr>
          <w:color w:val="000000"/>
          <w:szCs w:val="24"/>
        </w:rPr>
        <w:t xml:space="preserve"> with the beginning of the 2019-2020 school year. </w:t>
      </w:r>
    </w:p>
    <w:p w:rsidR="002D0EF7" w:rsidRDefault="002D0EF7" w:rsidP="00167950">
      <w:pPr>
        <w:rPr>
          <w:color w:val="000000"/>
          <w:szCs w:val="24"/>
        </w:rPr>
      </w:pPr>
      <w:r>
        <w:rPr>
          <w:color w:val="000000"/>
          <w:szCs w:val="24"/>
        </w:rPr>
        <w:t>The first require</w:t>
      </w:r>
      <w:r w:rsidR="005B220A">
        <w:rPr>
          <w:color w:val="000000"/>
          <w:szCs w:val="24"/>
        </w:rPr>
        <w:t>ment will broaden the milk options in NSLP and SBP by allowing</w:t>
      </w:r>
      <w:r w:rsidR="008659C5">
        <w:rPr>
          <w:color w:val="000000"/>
          <w:szCs w:val="24"/>
        </w:rPr>
        <w:t xml:space="preserve"> School Food Authorities</w:t>
      </w:r>
      <w:r w:rsidR="005B220A">
        <w:rPr>
          <w:color w:val="000000"/>
          <w:szCs w:val="24"/>
        </w:rPr>
        <w:t xml:space="preserve"> </w:t>
      </w:r>
      <w:r w:rsidR="008659C5">
        <w:rPr>
          <w:color w:val="000000"/>
          <w:szCs w:val="24"/>
        </w:rPr>
        <w:t>(</w:t>
      </w:r>
      <w:r w:rsidR="005B220A">
        <w:rPr>
          <w:color w:val="000000"/>
          <w:szCs w:val="24"/>
        </w:rPr>
        <w:t>SFAs</w:t>
      </w:r>
      <w:r w:rsidR="008659C5">
        <w:rPr>
          <w:color w:val="000000"/>
          <w:szCs w:val="24"/>
        </w:rPr>
        <w:t>)</w:t>
      </w:r>
      <w:r w:rsidR="005B220A">
        <w:rPr>
          <w:color w:val="000000"/>
          <w:szCs w:val="24"/>
        </w:rPr>
        <w:t xml:space="preserve"> to permanently offer flavored, low-fat milk. Also, in the Child and Adult Care Food Program (CACFP) and</w:t>
      </w:r>
      <w:r w:rsidR="008659C5">
        <w:rPr>
          <w:color w:val="000000"/>
          <w:szCs w:val="24"/>
        </w:rPr>
        <w:t xml:space="preserve"> the Special Milk Program (SMP), </w:t>
      </w:r>
      <w:r w:rsidR="005B220A">
        <w:rPr>
          <w:color w:val="000000"/>
          <w:szCs w:val="24"/>
        </w:rPr>
        <w:t>flavored low-fat milk can be offered</w:t>
      </w:r>
      <w:r w:rsidR="00552276">
        <w:rPr>
          <w:color w:val="000000"/>
          <w:szCs w:val="24"/>
        </w:rPr>
        <w:t xml:space="preserve"> to participants ages six a</w:t>
      </w:r>
      <w:r w:rsidR="0044224B">
        <w:rPr>
          <w:color w:val="000000"/>
          <w:szCs w:val="24"/>
        </w:rPr>
        <w:t xml:space="preserve">nd older. </w:t>
      </w:r>
      <w:r w:rsidR="00F842B9">
        <w:rPr>
          <w:color w:val="000000"/>
          <w:szCs w:val="24"/>
        </w:rPr>
        <w:t xml:space="preserve">Secondly, half of the grains offered in the school lunch and breakfast </w:t>
      </w:r>
      <w:r w:rsidR="0044224B">
        <w:rPr>
          <w:color w:val="000000"/>
          <w:szCs w:val="24"/>
        </w:rPr>
        <w:t xml:space="preserve">menu must be whole grain-rich. </w:t>
      </w:r>
      <w:r w:rsidR="00F842B9">
        <w:rPr>
          <w:color w:val="000000"/>
          <w:szCs w:val="24"/>
        </w:rPr>
        <w:t>This ends the whole grain waiver process.</w:t>
      </w:r>
      <w:r w:rsidR="00966E31">
        <w:rPr>
          <w:color w:val="000000"/>
          <w:szCs w:val="24"/>
        </w:rPr>
        <w:t xml:space="preserve"> The third requirement will </w:t>
      </w:r>
      <w:r w:rsidR="00FE2E09">
        <w:rPr>
          <w:color w:val="000000"/>
          <w:szCs w:val="24"/>
        </w:rPr>
        <w:t>allow</w:t>
      </w:r>
      <w:r w:rsidR="00966E31">
        <w:rPr>
          <w:color w:val="000000"/>
          <w:szCs w:val="24"/>
        </w:rPr>
        <w:t xml:space="preserve"> schools more time for the gradual sodium reduction by retaining Sodium Target 1 through the end of school year 2023-2024, continuing Sodium Target 2 in school year 2024-2025, and eliminating the Final Target that would have gone into effect in school year 2022-2023. </w:t>
      </w:r>
    </w:p>
    <w:p w:rsidR="00966E31" w:rsidRPr="003E38A2" w:rsidRDefault="00966E31" w:rsidP="003E38A2">
      <w:pPr>
        <w:spacing w:after="0"/>
        <w:jc w:val="center"/>
        <w:rPr>
          <w:b/>
          <w:color w:val="000000"/>
          <w:szCs w:val="24"/>
        </w:rPr>
      </w:pPr>
      <w:r w:rsidRPr="003E38A2">
        <w:rPr>
          <w:b/>
          <w:color w:val="000000"/>
          <w:szCs w:val="24"/>
        </w:rPr>
        <w:t>National School Lunch Program</w:t>
      </w:r>
      <w:r w:rsidR="00C27BB9">
        <w:rPr>
          <w:b/>
          <w:color w:val="000000"/>
          <w:szCs w:val="24"/>
        </w:rPr>
        <w:t xml:space="preserve"> - </w:t>
      </w:r>
      <w:r w:rsidRPr="003E38A2">
        <w:rPr>
          <w:b/>
          <w:color w:val="000000"/>
          <w:szCs w:val="24"/>
        </w:rPr>
        <w:t>Sodium Timeline and Limits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National School Lunch Program Sodium Limits"/>
        <w:tblDescription w:val="National School Lunch Program Sodium Limits"/>
      </w:tblPr>
      <w:tblGrid>
        <w:gridCol w:w="3116"/>
        <w:gridCol w:w="3117"/>
        <w:gridCol w:w="3117"/>
      </w:tblGrid>
      <w:tr w:rsidR="003E38A2" w:rsidRPr="00B757AF" w:rsidTr="0044224B">
        <w:trPr>
          <w:tblHeader/>
        </w:trPr>
        <w:tc>
          <w:tcPr>
            <w:tcW w:w="3116" w:type="dxa"/>
          </w:tcPr>
          <w:p w:rsidR="003E38A2" w:rsidRPr="00B757AF" w:rsidRDefault="003E38A2" w:rsidP="00167950">
            <w:pPr>
              <w:rPr>
                <w:b/>
                <w:color w:val="000000"/>
                <w:szCs w:val="24"/>
              </w:rPr>
            </w:pPr>
            <w:r w:rsidRPr="00B757AF">
              <w:rPr>
                <w:b/>
                <w:color w:val="000000"/>
                <w:szCs w:val="24"/>
              </w:rPr>
              <w:t>Age/Grade Group</w:t>
            </w:r>
          </w:p>
        </w:tc>
        <w:tc>
          <w:tcPr>
            <w:tcW w:w="3117" w:type="dxa"/>
          </w:tcPr>
          <w:p w:rsidR="003E38A2" w:rsidRPr="00B757AF" w:rsidRDefault="003E38A2" w:rsidP="00167950">
            <w:pPr>
              <w:rPr>
                <w:b/>
                <w:color w:val="000000"/>
                <w:szCs w:val="24"/>
              </w:rPr>
            </w:pPr>
            <w:r w:rsidRPr="00B757AF">
              <w:rPr>
                <w:b/>
                <w:color w:val="000000"/>
                <w:szCs w:val="24"/>
              </w:rPr>
              <w:t>Target 1: July 2014 (mg)</w:t>
            </w:r>
          </w:p>
        </w:tc>
        <w:tc>
          <w:tcPr>
            <w:tcW w:w="3117" w:type="dxa"/>
          </w:tcPr>
          <w:p w:rsidR="003E38A2" w:rsidRPr="00B757AF" w:rsidRDefault="003E38A2" w:rsidP="00167950">
            <w:pPr>
              <w:rPr>
                <w:b/>
                <w:color w:val="000000"/>
                <w:szCs w:val="24"/>
              </w:rPr>
            </w:pPr>
            <w:r w:rsidRPr="00B757AF">
              <w:rPr>
                <w:b/>
                <w:color w:val="000000"/>
                <w:szCs w:val="24"/>
              </w:rPr>
              <w:t>Target 2: July 2024 (mg)</w:t>
            </w:r>
          </w:p>
        </w:tc>
      </w:tr>
      <w:tr w:rsidR="003E38A2" w:rsidTr="003E38A2">
        <w:tc>
          <w:tcPr>
            <w:tcW w:w="3116" w:type="dxa"/>
          </w:tcPr>
          <w:p w:rsidR="003E38A2" w:rsidRPr="003E38A2" w:rsidRDefault="003E38A2" w:rsidP="00167950">
            <w:pPr>
              <w:rPr>
                <w:rFonts w:cs="Times New Roman"/>
                <w:color w:val="000000"/>
                <w:szCs w:val="24"/>
              </w:rPr>
            </w:pPr>
            <w:r w:rsidRPr="003E38A2">
              <w:rPr>
                <w:rFonts w:cs="Times New Roman"/>
                <w:color w:val="000000"/>
                <w:szCs w:val="24"/>
              </w:rPr>
              <w:t>K-5</w:t>
            </w:r>
          </w:p>
        </w:tc>
        <w:tc>
          <w:tcPr>
            <w:tcW w:w="3117" w:type="dxa"/>
          </w:tcPr>
          <w:p w:rsidR="003E38A2" w:rsidRPr="003E38A2" w:rsidRDefault="003E38A2" w:rsidP="003E38A2">
            <w:pPr>
              <w:rPr>
                <w:rFonts w:cs="Times New Roman"/>
                <w:color w:val="000000"/>
                <w:szCs w:val="24"/>
              </w:rPr>
            </w:pPr>
            <w:r w:rsidRPr="003E38A2">
              <w:rPr>
                <w:rFonts w:cs="Times New Roman"/>
                <w:color w:val="000000"/>
                <w:szCs w:val="24"/>
              </w:rPr>
              <w:t xml:space="preserve"> ≤</w:t>
            </w:r>
            <w:r>
              <w:rPr>
                <w:rFonts w:cs="Times New Roman"/>
                <w:color w:val="000000"/>
                <w:szCs w:val="24"/>
              </w:rPr>
              <w:t xml:space="preserve"> </w:t>
            </w:r>
            <w:r w:rsidRPr="003E38A2">
              <w:rPr>
                <w:rFonts w:cs="Times New Roman"/>
                <w:color w:val="000000"/>
                <w:szCs w:val="24"/>
              </w:rPr>
              <w:t>1,230</w:t>
            </w:r>
          </w:p>
        </w:tc>
        <w:tc>
          <w:tcPr>
            <w:tcW w:w="3117" w:type="dxa"/>
          </w:tcPr>
          <w:p w:rsidR="003E38A2" w:rsidRPr="003E38A2" w:rsidRDefault="003E38A2" w:rsidP="00167950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≤ 935</w:t>
            </w:r>
          </w:p>
        </w:tc>
      </w:tr>
      <w:tr w:rsidR="003E38A2" w:rsidTr="003E38A2">
        <w:tc>
          <w:tcPr>
            <w:tcW w:w="3116" w:type="dxa"/>
          </w:tcPr>
          <w:p w:rsidR="003E38A2" w:rsidRPr="003E38A2" w:rsidRDefault="003E38A2" w:rsidP="00167950">
            <w:pPr>
              <w:rPr>
                <w:rFonts w:cs="Times New Roman"/>
                <w:color w:val="000000"/>
                <w:szCs w:val="24"/>
              </w:rPr>
            </w:pPr>
            <w:r w:rsidRPr="003E38A2">
              <w:rPr>
                <w:rFonts w:cs="Times New Roman"/>
                <w:color w:val="000000"/>
                <w:szCs w:val="24"/>
              </w:rPr>
              <w:t>6-8</w:t>
            </w:r>
          </w:p>
        </w:tc>
        <w:tc>
          <w:tcPr>
            <w:tcW w:w="3117" w:type="dxa"/>
          </w:tcPr>
          <w:p w:rsidR="003E38A2" w:rsidRPr="003E38A2" w:rsidRDefault="003E38A2" w:rsidP="00167950">
            <w:pPr>
              <w:rPr>
                <w:rFonts w:cs="Times New Roman"/>
                <w:color w:val="000000"/>
                <w:szCs w:val="24"/>
              </w:rPr>
            </w:pPr>
            <w:r w:rsidRPr="003E38A2">
              <w:rPr>
                <w:rFonts w:cs="Times New Roman"/>
                <w:color w:val="000000"/>
                <w:szCs w:val="24"/>
              </w:rPr>
              <w:t xml:space="preserve"> ≤</w:t>
            </w:r>
            <w:r>
              <w:rPr>
                <w:rFonts w:cs="Times New Roman"/>
                <w:color w:val="000000"/>
                <w:szCs w:val="24"/>
              </w:rPr>
              <w:t xml:space="preserve"> </w:t>
            </w:r>
            <w:r w:rsidRPr="003E38A2">
              <w:rPr>
                <w:rFonts w:cs="Times New Roman"/>
                <w:color w:val="000000"/>
                <w:szCs w:val="24"/>
              </w:rPr>
              <w:t>1,360</w:t>
            </w:r>
          </w:p>
        </w:tc>
        <w:tc>
          <w:tcPr>
            <w:tcW w:w="3117" w:type="dxa"/>
          </w:tcPr>
          <w:p w:rsidR="003E38A2" w:rsidRPr="003E38A2" w:rsidRDefault="003E38A2" w:rsidP="00167950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≤ 1,035</w:t>
            </w:r>
          </w:p>
        </w:tc>
      </w:tr>
      <w:tr w:rsidR="003E38A2" w:rsidTr="003E38A2">
        <w:tc>
          <w:tcPr>
            <w:tcW w:w="3116" w:type="dxa"/>
          </w:tcPr>
          <w:p w:rsidR="003E38A2" w:rsidRPr="003E38A2" w:rsidRDefault="003E38A2" w:rsidP="00167950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9-12</w:t>
            </w:r>
          </w:p>
        </w:tc>
        <w:tc>
          <w:tcPr>
            <w:tcW w:w="3117" w:type="dxa"/>
          </w:tcPr>
          <w:p w:rsidR="003E38A2" w:rsidRPr="003E38A2" w:rsidRDefault="003E38A2" w:rsidP="00167950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≤ 1,420</w:t>
            </w:r>
          </w:p>
        </w:tc>
        <w:tc>
          <w:tcPr>
            <w:tcW w:w="3117" w:type="dxa"/>
          </w:tcPr>
          <w:p w:rsidR="003E38A2" w:rsidRPr="003E38A2" w:rsidRDefault="003E38A2" w:rsidP="00167950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≤ 1,080</w:t>
            </w:r>
          </w:p>
        </w:tc>
      </w:tr>
    </w:tbl>
    <w:p w:rsidR="00FE2E09" w:rsidRDefault="00FE2E09" w:rsidP="003E38A2">
      <w:pPr>
        <w:spacing w:after="0"/>
        <w:jc w:val="center"/>
        <w:rPr>
          <w:b/>
          <w:color w:val="000000"/>
          <w:szCs w:val="24"/>
        </w:rPr>
      </w:pPr>
    </w:p>
    <w:p w:rsidR="003E38A2" w:rsidRPr="003E38A2" w:rsidRDefault="003E38A2" w:rsidP="003E38A2">
      <w:pPr>
        <w:spacing w:after="0"/>
        <w:jc w:val="center"/>
        <w:rPr>
          <w:b/>
          <w:color w:val="000000"/>
          <w:szCs w:val="24"/>
        </w:rPr>
      </w:pPr>
      <w:r w:rsidRPr="003E38A2">
        <w:rPr>
          <w:b/>
          <w:color w:val="000000"/>
          <w:szCs w:val="24"/>
        </w:rPr>
        <w:t>National School</w:t>
      </w:r>
      <w:r>
        <w:rPr>
          <w:b/>
          <w:color w:val="000000"/>
          <w:szCs w:val="24"/>
        </w:rPr>
        <w:t xml:space="preserve"> Breakfast</w:t>
      </w:r>
      <w:r w:rsidRPr="003E38A2">
        <w:rPr>
          <w:b/>
          <w:color w:val="000000"/>
          <w:szCs w:val="24"/>
        </w:rPr>
        <w:t xml:space="preserve"> Program</w:t>
      </w:r>
      <w:r w:rsidR="00C27BB9">
        <w:rPr>
          <w:b/>
          <w:color w:val="000000"/>
          <w:szCs w:val="24"/>
        </w:rPr>
        <w:t xml:space="preserve"> - </w:t>
      </w:r>
      <w:r w:rsidRPr="003E38A2">
        <w:rPr>
          <w:b/>
          <w:color w:val="000000"/>
          <w:szCs w:val="24"/>
        </w:rPr>
        <w:t>Sodium Timeline and Limits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National School Breakfast Sodium Limits"/>
        <w:tblDescription w:val="National School Breakfast Sodium Limits"/>
      </w:tblPr>
      <w:tblGrid>
        <w:gridCol w:w="3116"/>
        <w:gridCol w:w="3117"/>
        <w:gridCol w:w="3117"/>
      </w:tblGrid>
      <w:tr w:rsidR="003E38A2" w:rsidTr="0044224B">
        <w:trPr>
          <w:tblHeader/>
        </w:trPr>
        <w:tc>
          <w:tcPr>
            <w:tcW w:w="3116" w:type="dxa"/>
          </w:tcPr>
          <w:p w:rsidR="003E38A2" w:rsidRPr="00B757AF" w:rsidRDefault="003E38A2" w:rsidP="00727986">
            <w:pPr>
              <w:rPr>
                <w:b/>
                <w:color w:val="000000"/>
                <w:szCs w:val="24"/>
              </w:rPr>
            </w:pPr>
            <w:r w:rsidRPr="00B757AF">
              <w:rPr>
                <w:b/>
                <w:color w:val="000000"/>
                <w:szCs w:val="24"/>
              </w:rPr>
              <w:t>Age/Grade Group</w:t>
            </w:r>
          </w:p>
        </w:tc>
        <w:tc>
          <w:tcPr>
            <w:tcW w:w="3117" w:type="dxa"/>
          </w:tcPr>
          <w:p w:rsidR="003E38A2" w:rsidRPr="00B757AF" w:rsidRDefault="003E38A2" w:rsidP="00727986">
            <w:pPr>
              <w:rPr>
                <w:b/>
                <w:color w:val="000000"/>
                <w:szCs w:val="24"/>
              </w:rPr>
            </w:pPr>
            <w:r w:rsidRPr="00B757AF">
              <w:rPr>
                <w:b/>
                <w:color w:val="000000"/>
                <w:szCs w:val="24"/>
              </w:rPr>
              <w:t>Target 1: July 2014 (mg)</w:t>
            </w:r>
          </w:p>
        </w:tc>
        <w:tc>
          <w:tcPr>
            <w:tcW w:w="3117" w:type="dxa"/>
          </w:tcPr>
          <w:p w:rsidR="003E38A2" w:rsidRPr="00B757AF" w:rsidRDefault="003E38A2" w:rsidP="00727986">
            <w:pPr>
              <w:rPr>
                <w:b/>
                <w:color w:val="000000"/>
                <w:szCs w:val="24"/>
              </w:rPr>
            </w:pPr>
            <w:r w:rsidRPr="00B757AF">
              <w:rPr>
                <w:b/>
                <w:color w:val="000000"/>
                <w:szCs w:val="24"/>
              </w:rPr>
              <w:t>Target 2: July 2024 (mg)</w:t>
            </w:r>
          </w:p>
        </w:tc>
      </w:tr>
      <w:tr w:rsidR="003E38A2" w:rsidTr="00727986">
        <w:tc>
          <w:tcPr>
            <w:tcW w:w="3116" w:type="dxa"/>
          </w:tcPr>
          <w:p w:rsidR="003E38A2" w:rsidRPr="003E38A2" w:rsidRDefault="003E38A2" w:rsidP="00727986">
            <w:pPr>
              <w:rPr>
                <w:rFonts w:cs="Times New Roman"/>
                <w:color w:val="000000"/>
                <w:szCs w:val="24"/>
              </w:rPr>
            </w:pPr>
            <w:r w:rsidRPr="003E38A2">
              <w:rPr>
                <w:rFonts w:cs="Times New Roman"/>
                <w:color w:val="000000"/>
                <w:szCs w:val="24"/>
              </w:rPr>
              <w:t>K-5</w:t>
            </w:r>
          </w:p>
        </w:tc>
        <w:tc>
          <w:tcPr>
            <w:tcW w:w="3117" w:type="dxa"/>
          </w:tcPr>
          <w:p w:rsidR="003E38A2" w:rsidRPr="003E38A2" w:rsidRDefault="003E38A2" w:rsidP="00727986">
            <w:pPr>
              <w:rPr>
                <w:rFonts w:cs="Times New Roman"/>
                <w:color w:val="000000"/>
                <w:szCs w:val="24"/>
              </w:rPr>
            </w:pPr>
            <w:r w:rsidRPr="003E38A2">
              <w:rPr>
                <w:rFonts w:cs="Times New Roman"/>
                <w:color w:val="000000"/>
                <w:szCs w:val="24"/>
              </w:rPr>
              <w:t xml:space="preserve"> ≤</w:t>
            </w:r>
            <w:r>
              <w:rPr>
                <w:rFonts w:cs="Times New Roman"/>
                <w:color w:val="000000"/>
                <w:szCs w:val="24"/>
              </w:rPr>
              <w:t xml:space="preserve"> 540</w:t>
            </w:r>
          </w:p>
        </w:tc>
        <w:tc>
          <w:tcPr>
            <w:tcW w:w="3117" w:type="dxa"/>
          </w:tcPr>
          <w:p w:rsidR="003E38A2" w:rsidRPr="003E38A2" w:rsidRDefault="003E38A2" w:rsidP="00727986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≤ 485</w:t>
            </w:r>
          </w:p>
        </w:tc>
      </w:tr>
      <w:tr w:rsidR="003E38A2" w:rsidTr="00727986">
        <w:tc>
          <w:tcPr>
            <w:tcW w:w="3116" w:type="dxa"/>
          </w:tcPr>
          <w:p w:rsidR="003E38A2" w:rsidRPr="003E38A2" w:rsidRDefault="003E38A2" w:rsidP="00727986">
            <w:pPr>
              <w:rPr>
                <w:rFonts w:cs="Times New Roman"/>
                <w:color w:val="000000"/>
                <w:szCs w:val="24"/>
              </w:rPr>
            </w:pPr>
            <w:r w:rsidRPr="003E38A2">
              <w:rPr>
                <w:rFonts w:cs="Times New Roman"/>
                <w:color w:val="000000"/>
                <w:szCs w:val="24"/>
              </w:rPr>
              <w:t>6-8</w:t>
            </w:r>
          </w:p>
        </w:tc>
        <w:tc>
          <w:tcPr>
            <w:tcW w:w="3117" w:type="dxa"/>
          </w:tcPr>
          <w:p w:rsidR="003E38A2" w:rsidRPr="003E38A2" w:rsidRDefault="003E38A2" w:rsidP="00727986">
            <w:pPr>
              <w:rPr>
                <w:rFonts w:cs="Times New Roman"/>
                <w:color w:val="000000"/>
                <w:szCs w:val="24"/>
              </w:rPr>
            </w:pPr>
            <w:r w:rsidRPr="003E38A2">
              <w:rPr>
                <w:rFonts w:cs="Times New Roman"/>
                <w:color w:val="000000"/>
                <w:szCs w:val="24"/>
              </w:rPr>
              <w:t xml:space="preserve"> ≤</w:t>
            </w:r>
            <w:r>
              <w:rPr>
                <w:rFonts w:cs="Times New Roman"/>
                <w:color w:val="000000"/>
                <w:szCs w:val="24"/>
              </w:rPr>
              <w:t xml:space="preserve"> 600</w:t>
            </w:r>
          </w:p>
        </w:tc>
        <w:tc>
          <w:tcPr>
            <w:tcW w:w="3117" w:type="dxa"/>
          </w:tcPr>
          <w:p w:rsidR="003E38A2" w:rsidRPr="003E38A2" w:rsidRDefault="003E38A2" w:rsidP="00727986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≤ 535</w:t>
            </w:r>
          </w:p>
        </w:tc>
      </w:tr>
      <w:tr w:rsidR="003E38A2" w:rsidTr="00727986">
        <w:tc>
          <w:tcPr>
            <w:tcW w:w="3116" w:type="dxa"/>
          </w:tcPr>
          <w:p w:rsidR="003E38A2" w:rsidRPr="003E38A2" w:rsidRDefault="003E38A2" w:rsidP="00727986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9-12</w:t>
            </w:r>
          </w:p>
        </w:tc>
        <w:tc>
          <w:tcPr>
            <w:tcW w:w="3117" w:type="dxa"/>
          </w:tcPr>
          <w:p w:rsidR="003E38A2" w:rsidRPr="003E38A2" w:rsidRDefault="003E38A2" w:rsidP="00727986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≤ 640</w:t>
            </w:r>
          </w:p>
        </w:tc>
        <w:tc>
          <w:tcPr>
            <w:tcW w:w="3117" w:type="dxa"/>
          </w:tcPr>
          <w:p w:rsidR="003E38A2" w:rsidRPr="003E38A2" w:rsidRDefault="003E38A2" w:rsidP="00727986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≤ 570</w:t>
            </w:r>
          </w:p>
        </w:tc>
      </w:tr>
    </w:tbl>
    <w:p w:rsidR="003E38A2" w:rsidRDefault="00FE2E09" w:rsidP="00167950">
      <w:pPr>
        <w:rPr>
          <w:color w:val="000000"/>
          <w:szCs w:val="24"/>
        </w:rPr>
      </w:pPr>
      <w:r>
        <w:rPr>
          <w:color w:val="000000"/>
          <w:szCs w:val="24"/>
        </w:rPr>
        <w:lastRenderedPageBreak/>
        <w:t xml:space="preserve">Sodium limits apply to the average meal offered during the week; it does not apply per day or per meal. </w:t>
      </w:r>
    </w:p>
    <w:p w:rsidR="0044224B" w:rsidRPr="002F2AF8" w:rsidRDefault="0044224B" w:rsidP="00167950">
      <w:pPr>
        <w:rPr>
          <w:color w:val="000000"/>
          <w:szCs w:val="24"/>
        </w:rPr>
      </w:pPr>
      <w:r>
        <w:rPr>
          <w:color w:val="000000"/>
          <w:szCs w:val="24"/>
        </w:rPr>
        <w:t>If you have an</w:t>
      </w:r>
      <w:r w:rsidR="005C39FF">
        <w:rPr>
          <w:color w:val="000000"/>
          <w:szCs w:val="24"/>
        </w:rPr>
        <w:t xml:space="preserve">y questions, please contact the </w:t>
      </w:r>
      <w:r>
        <w:rPr>
          <w:color w:val="000000"/>
          <w:szCs w:val="24"/>
        </w:rPr>
        <w:t xml:space="preserve">regional specialist assigned to your school division. </w:t>
      </w:r>
    </w:p>
    <w:p w:rsidR="005C39FF" w:rsidRPr="002F2AF8" w:rsidRDefault="005E064F" w:rsidP="00167950">
      <w:pPr>
        <w:rPr>
          <w:color w:val="000000"/>
          <w:szCs w:val="24"/>
        </w:rPr>
      </w:pPr>
      <w:r w:rsidRPr="002F2AF8">
        <w:rPr>
          <w:rStyle w:val="PlaceholderText"/>
          <w:color w:val="auto"/>
          <w:szCs w:val="24"/>
        </w:rPr>
        <w:t>JFL/</w:t>
      </w:r>
      <w:r w:rsidR="00727986">
        <w:rPr>
          <w:color w:val="000000"/>
          <w:szCs w:val="24"/>
        </w:rPr>
        <w:t>SCC/bdb</w:t>
      </w:r>
    </w:p>
    <w:sectPr w:rsidR="005C39FF" w:rsidRPr="002F2A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068" w:rsidRDefault="001C2068" w:rsidP="00B25322">
      <w:pPr>
        <w:spacing w:after="0" w:line="240" w:lineRule="auto"/>
      </w:pPr>
      <w:r>
        <w:separator/>
      </w:r>
    </w:p>
  </w:endnote>
  <w:endnote w:type="continuationSeparator" w:id="0">
    <w:p w:rsidR="001C2068" w:rsidRDefault="001C2068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068" w:rsidRDefault="001C2068" w:rsidP="00B25322">
      <w:pPr>
        <w:spacing w:after="0" w:line="240" w:lineRule="auto"/>
      </w:pPr>
      <w:r>
        <w:separator/>
      </w:r>
    </w:p>
  </w:footnote>
  <w:footnote w:type="continuationSeparator" w:id="0">
    <w:p w:rsidR="001C2068" w:rsidRDefault="001C2068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5"/>
  <w:removePersonalInformation/>
  <w:removeDateAndTime/>
  <w:attachedTemplate r:id="rId1"/>
  <w:documentProtection w:edit="form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CE"/>
    <w:rsid w:val="000158CE"/>
    <w:rsid w:val="00042176"/>
    <w:rsid w:val="00062952"/>
    <w:rsid w:val="00067393"/>
    <w:rsid w:val="00092A63"/>
    <w:rsid w:val="000E2D83"/>
    <w:rsid w:val="00116B3E"/>
    <w:rsid w:val="00167950"/>
    <w:rsid w:val="001C2068"/>
    <w:rsid w:val="001E40A6"/>
    <w:rsid w:val="00223595"/>
    <w:rsid w:val="00227B1E"/>
    <w:rsid w:val="0027145D"/>
    <w:rsid w:val="002A6350"/>
    <w:rsid w:val="002D0EF7"/>
    <w:rsid w:val="002F2AF8"/>
    <w:rsid w:val="002F2DAF"/>
    <w:rsid w:val="0031177E"/>
    <w:rsid w:val="003238EA"/>
    <w:rsid w:val="003E38A2"/>
    <w:rsid w:val="003F0A70"/>
    <w:rsid w:val="00406FF4"/>
    <w:rsid w:val="00414707"/>
    <w:rsid w:val="0044224B"/>
    <w:rsid w:val="004822F9"/>
    <w:rsid w:val="004C29E7"/>
    <w:rsid w:val="004F6547"/>
    <w:rsid w:val="00552276"/>
    <w:rsid w:val="005840A5"/>
    <w:rsid w:val="005B220A"/>
    <w:rsid w:val="005C39FF"/>
    <w:rsid w:val="005E064F"/>
    <w:rsid w:val="005E06EF"/>
    <w:rsid w:val="00625A9B"/>
    <w:rsid w:val="00635D76"/>
    <w:rsid w:val="00653DCC"/>
    <w:rsid w:val="00726AE8"/>
    <w:rsid w:val="00727986"/>
    <w:rsid w:val="0073236D"/>
    <w:rsid w:val="00756255"/>
    <w:rsid w:val="00793593"/>
    <w:rsid w:val="007A73B4"/>
    <w:rsid w:val="007C0B3F"/>
    <w:rsid w:val="007C3E67"/>
    <w:rsid w:val="00851C0B"/>
    <w:rsid w:val="008631A7"/>
    <w:rsid w:val="008659C5"/>
    <w:rsid w:val="008C4A46"/>
    <w:rsid w:val="00904F44"/>
    <w:rsid w:val="00966E31"/>
    <w:rsid w:val="00977AFA"/>
    <w:rsid w:val="009B51FA"/>
    <w:rsid w:val="009C7253"/>
    <w:rsid w:val="009E38A6"/>
    <w:rsid w:val="00A26586"/>
    <w:rsid w:val="00A30BC9"/>
    <w:rsid w:val="00A3144F"/>
    <w:rsid w:val="00A65EE6"/>
    <w:rsid w:val="00A67B2F"/>
    <w:rsid w:val="00A81436"/>
    <w:rsid w:val="00AE65FD"/>
    <w:rsid w:val="00B01E92"/>
    <w:rsid w:val="00B25322"/>
    <w:rsid w:val="00B65FE2"/>
    <w:rsid w:val="00B757AF"/>
    <w:rsid w:val="00BC1A9C"/>
    <w:rsid w:val="00BE00E6"/>
    <w:rsid w:val="00C23584"/>
    <w:rsid w:val="00C25FA1"/>
    <w:rsid w:val="00C27BB9"/>
    <w:rsid w:val="00CA70A4"/>
    <w:rsid w:val="00CF0233"/>
    <w:rsid w:val="00D534B4"/>
    <w:rsid w:val="00D55B56"/>
    <w:rsid w:val="00D95780"/>
    <w:rsid w:val="00DA0871"/>
    <w:rsid w:val="00DA14B1"/>
    <w:rsid w:val="00DD368F"/>
    <w:rsid w:val="00DE36A1"/>
    <w:rsid w:val="00DE40C7"/>
    <w:rsid w:val="00E04510"/>
    <w:rsid w:val="00E12E2F"/>
    <w:rsid w:val="00E4085F"/>
    <w:rsid w:val="00E75FCE"/>
    <w:rsid w:val="00E760E6"/>
    <w:rsid w:val="00ED79E7"/>
    <w:rsid w:val="00F41943"/>
    <w:rsid w:val="00F81813"/>
    <w:rsid w:val="00F842B9"/>
    <w:rsid w:val="00F9518A"/>
    <w:rsid w:val="00FD73EF"/>
    <w:rsid w:val="00FE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780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95780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table" w:styleId="TableGrid">
    <w:name w:val="Table Grid"/>
    <w:basedOn w:val="TableNormal"/>
    <w:uiPriority w:val="59"/>
    <w:rsid w:val="003E3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AC174-8746-4BE1-9D13-932F20625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</Template>
  <TotalTime>0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Supts Memo XX-19 Meal Flexibilities, Whole Grains and Sodium Requirements</vt:lpstr>
    </vt:vector>
  </TitlesOfParts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Supts Memo XX-19 Meal Flexibilities, Whole Grains and Sodium Requirements</dc:title>
  <dc:creator/>
  <cp:lastModifiedBy/>
  <cp:revision>1</cp:revision>
  <dcterms:created xsi:type="dcterms:W3CDTF">2019-03-20T12:34:00Z</dcterms:created>
  <dcterms:modified xsi:type="dcterms:W3CDTF">2019-03-20T12:34:00Z</dcterms:modified>
</cp:coreProperties>
</file>