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426D2" w:rsidRPr="009F0D89">
        <w:rPr>
          <w:rFonts w:eastAsia="Times New Roman" w:cs="Times New Roman"/>
          <w:color w:val="222222"/>
          <w:kern w:val="36"/>
          <w:szCs w:val="24"/>
        </w:rPr>
        <w:t>061-19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EB5FB9">
        <w:rPr>
          <w:szCs w:val="24"/>
        </w:rPr>
        <w:t>March 15,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CB104E">
        <w:rPr>
          <w:szCs w:val="24"/>
        </w:rPr>
        <w:t xml:space="preserve">Virtual Virginia </w:t>
      </w:r>
      <w:r w:rsidR="0054559E">
        <w:rPr>
          <w:szCs w:val="24"/>
        </w:rPr>
        <w:t xml:space="preserve">2019 </w:t>
      </w:r>
      <w:r w:rsidR="00CB104E">
        <w:rPr>
          <w:szCs w:val="24"/>
        </w:rPr>
        <w:t>Summer School Registration</w:t>
      </w:r>
    </w:p>
    <w:p w:rsidR="00CB104E" w:rsidRPr="00CB104E" w:rsidRDefault="00CB104E" w:rsidP="00CB104E">
      <w:pPr>
        <w:spacing w:after="160"/>
        <w:rPr>
          <w:rFonts w:eastAsia="Arial" w:cs="Times New Roman"/>
          <w:szCs w:val="24"/>
          <w:lang w:val="en"/>
        </w:rPr>
      </w:pPr>
      <w:r w:rsidRPr="00CB104E">
        <w:rPr>
          <w:rFonts w:eastAsia="Arial" w:cs="Times New Roman"/>
          <w:szCs w:val="24"/>
          <w:lang w:val="en"/>
        </w:rPr>
        <w:t>The Virginia Department of Education (VDOE) reminds school divisions that registration for the Virtual Virginia</w:t>
      </w:r>
      <w:r w:rsidR="0054559E">
        <w:rPr>
          <w:rFonts w:eastAsia="Arial" w:cs="Times New Roman"/>
          <w:szCs w:val="24"/>
          <w:lang w:val="en"/>
        </w:rPr>
        <w:t xml:space="preserve"> (VVA)</w:t>
      </w:r>
      <w:r w:rsidRPr="00CB104E">
        <w:rPr>
          <w:rFonts w:eastAsia="Arial" w:cs="Times New Roman"/>
          <w:szCs w:val="24"/>
          <w:lang w:val="en"/>
        </w:rPr>
        <w:t xml:space="preserve"> 2019 Summer Session is open now through June 13.  </w:t>
      </w:r>
    </w:p>
    <w:p w:rsidR="00CB104E" w:rsidRPr="00CB104E" w:rsidRDefault="00CB104E" w:rsidP="00CB104E">
      <w:pPr>
        <w:spacing w:after="160"/>
        <w:rPr>
          <w:rFonts w:eastAsia="Arial" w:cs="Times New Roman"/>
          <w:szCs w:val="24"/>
          <w:lang w:val="en"/>
        </w:rPr>
      </w:pPr>
      <w:r w:rsidRPr="00CB104E">
        <w:rPr>
          <w:rFonts w:eastAsia="Arial" w:cs="Times New Roman"/>
          <w:szCs w:val="24"/>
          <w:lang w:val="en"/>
        </w:rPr>
        <w:t>The Virtual Virginia 2019 Summer Session will offer 51 core and elective online courses. The summer session course d</w:t>
      </w:r>
      <w:bookmarkStart w:id="0" w:name="_GoBack"/>
      <w:bookmarkEnd w:id="0"/>
      <w:r w:rsidRPr="00CB104E">
        <w:rPr>
          <w:rFonts w:eastAsia="Arial" w:cs="Times New Roman"/>
          <w:szCs w:val="24"/>
          <w:lang w:val="en"/>
        </w:rPr>
        <w:t xml:space="preserve">ates are June 17–July 26, 2019.  The Virtual Virginia HelpDesk will be available during the summer session from 8 a.m. to 4 p.m. (Monday–Friday). The tuition for Virginia public school students who enroll in summer session courses is $375 per course. Tuition must be paid at the time of course registration and must be made with an electronic debit, credit, or prepaid card. The following courses will be offered during VVA </w:t>
      </w:r>
      <w:r w:rsidR="0054559E">
        <w:rPr>
          <w:rFonts w:eastAsia="Arial" w:cs="Times New Roman"/>
          <w:szCs w:val="24"/>
          <w:lang w:val="en"/>
        </w:rPr>
        <w:t xml:space="preserve">2019 </w:t>
      </w:r>
      <w:r w:rsidRPr="00CB104E">
        <w:rPr>
          <w:rFonts w:eastAsia="Arial" w:cs="Times New Roman"/>
          <w:szCs w:val="24"/>
          <w:lang w:val="en"/>
        </w:rPr>
        <w:t>Summer Session:</w:t>
      </w:r>
    </w:p>
    <w:tbl>
      <w:tblPr>
        <w:tblStyle w:val="TableGrid1"/>
        <w:tblW w:w="0" w:type="auto"/>
        <w:tblLook w:val="04A0" w:firstRow="1" w:lastRow="0" w:firstColumn="1" w:lastColumn="0" w:noHBand="0" w:noVBand="1"/>
        <w:tblCaption w:val="Summer School Course List 2019"/>
        <w:tblDescription w:val="This table lists the 51 courses available to students for the 2019 summer school session."/>
      </w:tblPr>
      <w:tblGrid>
        <w:gridCol w:w="3109"/>
        <w:gridCol w:w="3122"/>
        <w:gridCol w:w="3119"/>
      </w:tblGrid>
      <w:tr w:rsidR="00CB104E" w:rsidRPr="00CB104E" w:rsidTr="009A42FF">
        <w:trPr>
          <w:tblHeader/>
        </w:trPr>
        <w:tc>
          <w:tcPr>
            <w:tcW w:w="3109" w:type="dxa"/>
            <w:shd w:val="clear" w:color="auto" w:fill="A4BEDD" w:themeFill="accent1" w:themeFillTint="66"/>
          </w:tcPr>
          <w:p w:rsidR="00CB104E" w:rsidRPr="00CB104E" w:rsidRDefault="00CB104E" w:rsidP="00CB104E">
            <w:pPr>
              <w:spacing w:line="276" w:lineRule="auto"/>
              <w:rPr>
                <w:rFonts w:eastAsia="Arial"/>
                <w:szCs w:val="24"/>
                <w:lang w:val="en"/>
              </w:rPr>
            </w:pPr>
            <w:r w:rsidRPr="00CB104E">
              <w:rPr>
                <w:rFonts w:eastAsia="Arial"/>
                <w:szCs w:val="24"/>
                <w:lang w:val="en"/>
              </w:rPr>
              <w:t>Courses</w:t>
            </w:r>
          </w:p>
        </w:tc>
        <w:tc>
          <w:tcPr>
            <w:tcW w:w="3122" w:type="dxa"/>
            <w:shd w:val="clear" w:color="auto" w:fill="A4BEDD" w:themeFill="accent1" w:themeFillTint="66"/>
          </w:tcPr>
          <w:p w:rsidR="00CB104E" w:rsidRPr="00CB104E" w:rsidRDefault="00CB104E" w:rsidP="00CB104E">
            <w:pPr>
              <w:spacing w:line="276" w:lineRule="auto"/>
              <w:rPr>
                <w:rFonts w:eastAsia="Arial"/>
                <w:szCs w:val="24"/>
                <w:lang w:val="en"/>
              </w:rPr>
            </w:pPr>
            <w:r w:rsidRPr="00CB104E">
              <w:rPr>
                <w:rFonts w:eastAsia="Arial"/>
                <w:szCs w:val="24"/>
                <w:lang w:val="en"/>
              </w:rPr>
              <w:t>Courses Continued</w:t>
            </w:r>
          </w:p>
        </w:tc>
        <w:tc>
          <w:tcPr>
            <w:tcW w:w="3119" w:type="dxa"/>
            <w:shd w:val="clear" w:color="auto" w:fill="A4BEDD" w:themeFill="accent1" w:themeFillTint="66"/>
          </w:tcPr>
          <w:p w:rsidR="00CB104E" w:rsidRPr="00CB104E" w:rsidRDefault="00CB104E" w:rsidP="00CB104E">
            <w:pPr>
              <w:spacing w:line="276" w:lineRule="auto"/>
              <w:rPr>
                <w:rFonts w:eastAsia="Arial"/>
                <w:szCs w:val="24"/>
                <w:lang w:val="en"/>
              </w:rPr>
            </w:pPr>
            <w:r w:rsidRPr="00CB104E">
              <w:rPr>
                <w:rFonts w:eastAsia="Arial"/>
                <w:szCs w:val="24"/>
                <w:lang w:val="en"/>
              </w:rPr>
              <w:t>Courses Continued</w:t>
            </w: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Algebra 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spacing w:line="276" w:lineRule="auto"/>
              <w:rPr>
                <w:rFonts w:eastAsia="Arial"/>
                <w:szCs w:val="24"/>
                <w:lang w:val="en"/>
              </w:rPr>
            </w:pPr>
            <w:r w:rsidRPr="00CB104E">
              <w:rPr>
                <w:rFonts w:eastAsia="Arial"/>
                <w:szCs w:val="24"/>
                <w:lang w:val="en"/>
              </w:rPr>
              <w:t>Earth Science II – Oceanography</w:t>
            </w: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Latin II</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Algebra II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Economics (0.5 credit)</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Latin III</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spacing w:line="276" w:lineRule="auto"/>
              <w:rPr>
                <w:rFonts w:eastAsia="Arial"/>
                <w:szCs w:val="24"/>
                <w:lang w:val="en"/>
              </w:rPr>
            </w:pPr>
            <w:r w:rsidRPr="00CB104E">
              <w:rPr>
                <w:rFonts w:eastAsia="Arial"/>
                <w:szCs w:val="24"/>
                <w:lang w:val="en"/>
              </w:rPr>
              <w:t>Algebra Functions and Data</w:t>
            </w:r>
          </w:p>
        </w:tc>
        <w:tc>
          <w:tcPr>
            <w:tcW w:w="3122" w:type="dxa"/>
          </w:tcPr>
          <w:p w:rsidR="00CB104E" w:rsidRPr="00CB104E" w:rsidRDefault="00CB104E" w:rsidP="00CB104E">
            <w:pPr>
              <w:spacing w:line="276" w:lineRule="auto"/>
              <w:rPr>
                <w:rFonts w:eastAsia="Arial"/>
                <w:szCs w:val="24"/>
                <w:lang w:val="en"/>
              </w:rPr>
            </w:pPr>
            <w:r w:rsidRPr="00CB104E">
              <w:rPr>
                <w:rFonts w:eastAsia="Arial"/>
                <w:szCs w:val="24"/>
                <w:lang w:val="en"/>
              </w:rPr>
              <w:t>Economics and Personal Finance</w:t>
            </w: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Latin IV</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Analysis Arabic 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English 9</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Personal Finance (0.5 credit)</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Arabic II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English 10</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Physics I</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Arabic III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English 11</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spacing w:line="276" w:lineRule="auto"/>
              <w:rPr>
                <w:rFonts w:eastAsia="Arial"/>
                <w:szCs w:val="24"/>
                <w:lang w:val="en"/>
              </w:rPr>
            </w:pPr>
            <w:r w:rsidRPr="00CB104E">
              <w:rPr>
                <w:rFonts w:eastAsia="Arial"/>
                <w:szCs w:val="24"/>
                <w:lang w:val="en"/>
              </w:rPr>
              <w:t>Pre-Calculus and Mathematical Analysis</w:t>
            </w: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Biology 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English 12</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Psychology</w:t>
            </w:r>
          </w:p>
          <w:p w:rsidR="00CB104E" w:rsidRPr="00CB104E" w:rsidRDefault="00CB104E" w:rsidP="00CB104E">
            <w:pPr>
              <w:spacing w:line="276" w:lineRule="auto"/>
              <w:rPr>
                <w:rFonts w:eastAsia="Arial"/>
                <w:szCs w:val="24"/>
                <w:lang w:val="en"/>
              </w:rPr>
            </w:pPr>
          </w:p>
        </w:tc>
      </w:tr>
    </w:tbl>
    <w:p w:rsidR="009A42FF" w:rsidRDefault="009A42FF">
      <w:r>
        <w:br w:type="page"/>
      </w:r>
    </w:p>
    <w:tbl>
      <w:tblPr>
        <w:tblStyle w:val="TableGrid1"/>
        <w:tblW w:w="0" w:type="auto"/>
        <w:tblLook w:val="04A0" w:firstRow="1" w:lastRow="0" w:firstColumn="1" w:lastColumn="0" w:noHBand="0" w:noVBand="1"/>
        <w:tblCaption w:val="Summer School Course List 2019"/>
        <w:tblDescription w:val="This table lists the 51 courses available to students for the 2019 summer school session."/>
      </w:tblPr>
      <w:tblGrid>
        <w:gridCol w:w="3109"/>
        <w:gridCol w:w="3122"/>
        <w:gridCol w:w="3119"/>
      </w:tblGrid>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lastRenderedPageBreak/>
              <w:t>Biology II – Ecology</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French I</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Spanish I</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Chemistry 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French II</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Spanish II</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spacing w:line="276" w:lineRule="auto"/>
              <w:rPr>
                <w:rFonts w:eastAsia="Arial"/>
                <w:szCs w:val="24"/>
                <w:lang w:val="en"/>
              </w:rPr>
            </w:pPr>
            <w:r w:rsidRPr="00CB104E">
              <w:rPr>
                <w:rFonts w:eastAsia="Arial"/>
                <w:szCs w:val="24"/>
                <w:lang w:val="en"/>
              </w:rPr>
              <w:t>Chemistry II – Advanced Chemistry</w:t>
            </w: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French III</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Spanish III</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spacing w:line="276" w:lineRule="auto"/>
              <w:rPr>
                <w:rFonts w:eastAsia="Arial"/>
                <w:szCs w:val="24"/>
                <w:lang w:val="en"/>
              </w:rPr>
            </w:pPr>
            <w:r w:rsidRPr="00CB104E">
              <w:rPr>
                <w:rFonts w:eastAsia="Arial"/>
                <w:szCs w:val="24"/>
                <w:lang w:val="en"/>
              </w:rPr>
              <w:t>Chinese I</w:t>
            </w: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French IV</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Spanish IV</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Chinese II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Geometry</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Trigonometry (0.5 credit)</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Chinese III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Health &amp; PE 9</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Virginia &amp; US Government</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Chinese IV</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Health &amp; PE 10</w:t>
            </w:r>
          </w:p>
          <w:p w:rsidR="00CB104E" w:rsidRPr="00CB104E" w:rsidRDefault="00CB104E" w:rsidP="00CB104E">
            <w:pPr>
              <w:spacing w:line="276" w:lineRule="auto"/>
              <w:rPr>
                <w:rFonts w:eastAsia="Arial"/>
                <w:szCs w:val="24"/>
                <w:lang w:val="en"/>
              </w:rPr>
            </w:pP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Virginia &amp; US History</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Creative Writing</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spacing w:line="276" w:lineRule="auto"/>
              <w:rPr>
                <w:rFonts w:eastAsia="Arial"/>
                <w:szCs w:val="24"/>
                <w:lang w:val="en"/>
              </w:rPr>
            </w:pPr>
            <w:r w:rsidRPr="00CB104E">
              <w:rPr>
                <w:rFonts w:eastAsia="Arial"/>
                <w:szCs w:val="24"/>
                <w:lang w:val="en"/>
              </w:rPr>
              <w:t>Introduction to Game Design</w:t>
            </w: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World History &amp; Geography to 1500 A.D.</w:t>
            </w:r>
          </w:p>
          <w:p w:rsidR="00CB104E" w:rsidRPr="00CB104E" w:rsidRDefault="00CB104E" w:rsidP="00CB104E">
            <w:pPr>
              <w:spacing w:line="276" w:lineRule="auto"/>
              <w:rPr>
                <w:rFonts w:eastAsia="Arial"/>
                <w:szCs w:val="24"/>
                <w:lang w:val="en"/>
              </w:rPr>
            </w:pPr>
          </w:p>
        </w:tc>
      </w:tr>
      <w:tr w:rsidR="00CB104E" w:rsidRPr="00CB104E" w:rsidTr="009A42FF">
        <w:trPr>
          <w:trHeight w:val="818"/>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Earth Science I</w:t>
            </w:r>
          </w:p>
          <w:p w:rsidR="00CB104E" w:rsidRPr="00CB104E" w:rsidRDefault="00CB104E" w:rsidP="00CB104E">
            <w:pPr>
              <w:spacing w:line="276" w:lineRule="auto"/>
              <w:rPr>
                <w:rFonts w:eastAsia="Arial"/>
                <w:szCs w:val="24"/>
                <w:lang w:val="en"/>
              </w:rPr>
            </w:pPr>
          </w:p>
        </w:tc>
        <w:tc>
          <w:tcPr>
            <w:tcW w:w="3122" w:type="dxa"/>
          </w:tcPr>
          <w:p w:rsidR="00CB104E" w:rsidRPr="00CB104E" w:rsidRDefault="00CB104E" w:rsidP="00CB104E">
            <w:pPr>
              <w:spacing w:line="276" w:lineRule="auto"/>
              <w:rPr>
                <w:rFonts w:eastAsia="Arial"/>
                <w:szCs w:val="24"/>
                <w:lang w:val="en"/>
              </w:rPr>
            </w:pPr>
            <w:r w:rsidRPr="00CB104E">
              <w:rPr>
                <w:rFonts w:eastAsia="Arial"/>
                <w:szCs w:val="24"/>
                <w:lang w:val="en"/>
              </w:rPr>
              <w:t>Introduction to Computer Science</w:t>
            </w:r>
          </w:p>
        </w:tc>
        <w:tc>
          <w:tcPr>
            <w:tcW w:w="311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World History &amp; G</w:t>
            </w:r>
            <w:r w:rsidR="00D01844">
              <w:rPr>
                <w:rFonts w:eastAsia="Arial"/>
                <w:szCs w:val="24"/>
                <w:lang w:val="en"/>
              </w:rPr>
              <w:t>eography 1500 A.D. to Present</w:t>
            </w:r>
          </w:p>
          <w:p w:rsidR="00CB104E" w:rsidRPr="00CB104E" w:rsidRDefault="00CB104E" w:rsidP="00CB104E">
            <w:pPr>
              <w:spacing w:line="276" w:lineRule="auto"/>
              <w:rPr>
                <w:rFonts w:eastAsia="Arial"/>
                <w:szCs w:val="24"/>
                <w:lang w:val="en"/>
              </w:rPr>
            </w:pPr>
          </w:p>
        </w:tc>
      </w:tr>
      <w:tr w:rsidR="00CB104E" w:rsidRPr="00CB104E" w:rsidTr="009A42FF">
        <w:trPr>
          <w:tblHeader/>
        </w:trPr>
        <w:tc>
          <w:tcPr>
            <w:tcW w:w="3109"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Earth Science II – Astronomy</w:t>
            </w:r>
          </w:p>
        </w:tc>
        <w:tc>
          <w:tcPr>
            <w:tcW w:w="3122" w:type="dxa"/>
          </w:tcPr>
          <w:p w:rsidR="00CB104E" w:rsidRPr="00CB104E" w:rsidRDefault="00CB104E" w:rsidP="00CB104E">
            <w:pPr>
              <w:widowControl w:val="0"/>
              <w:pBdr>
                <w:top w:val="nil"/>
                <w:left w:val="nil"/>
                <w:bottom w:val="nil"/>
                <w:right w:val="nil"/>
                <w:between w:val="nil"/>
              </w:pBdr>
              <w:rPr>
                <w:rFonts w:eastAsia="Arial"/>
                <w:szCs w:val="24"/>
                <w:lang w:val="en"/>
              </w:rPr>
            </w:pPr>
            <w:r w:rsidRPr="00CB104E">
              <w:rPr>
                <w:rFonts w:eastAsia="Arial"/>
                <w:szCs w:val="24"/>
                <w:lang w:val="en"/>
              </w:rPr>
              <w:t>Latin I</w:t>
            </w:r>
          </w:p>
          <w:p w:rsidR="00CB104E" w:rsidRPr="00CB104E" w:rsidRDefault="00CB104E" w:rsidP="00CB104E">
            <w:pPr>
              <w:spacing w:line="276" w:lineRule="auto"/>
              <w:rPr>
                <w:rFonts w:eastAsia="Arial"/>
                <w:szCs w:val="24"/>
                <w:lang w:val="en"/>
              </w:rPr>
            </w:pPr>
          </w:p>
        </w:tc>
        <w:tc>
          <w:tcPr>
            <w:tcW w:w="3119" w:type="dxa"/>
          </w:tcPr>
          <w:p w:rsidR="00CB104E" w:rsidRPr="00CB104E" w:rsidRDefault="001D261B" w:rsidP="00CB104E">
            <w:pPr>
              <w:spacing w:line="276" w:lineRule="auto"/>
              <w:rPr>
                <w:rFonts w:eastAsia="Arial"/>
                <w:szCs w:val="24"/>
                <w:lang w:val="en"/>
              </w:rPr>
            </w:pPr>
            <w:r>
              <w:rPr>
                <w:rFonts w:eastAsia="Arial"/>
                <w:szCs w:val="24"/>
                <w:lang w:val="en"/>
              </w:rPr>
              <w:t xml:space="preserve">World </w:t>
            </w:r>
            <w:r w:rsidR="00CB104E" w:rsidRPr="00CB104E">
              <w:rPr>
                <w:rFonts w:eastAsia="Arial"/>
                <w:szCs w:val="24"/>
                <w:lang w:val="en"/>
              </w:rPr>
              <w:t>Mythology</w:t>
            </w:r>
          </w:p>
        </w:tc>
      </w:tr>
    </w:tbl>
    <w:p w:rsidR="00CB104E" w:rsidRPr="00CB104E" w:rsidRDefault="00CB104E" w:rsidP="00CB104E">
      <w:pPr>
        <w:spacing w:after="160"/>
        <w:rPr>
          <w:rFonts w:eastAsia="Arial" w:cs="Times New Roman"/>
          <w:szCs w:val="24"/>
          <w:lang w:val="en"/>
        </w:rPr>
      </w:pPr>
    </w:p>
    <w:p w:rsidR="00CB104E" w:rsidRPr="00CB104E" w:rsidRDefault="00CB104E" w:rsidP="00CB104E">
      <w:pPr>
        <w:spacing w:after="160"/>
        <w:rPr>
          <w:rFonts w:eastAsia="Arial" w:cs="Times New Roman"/>
          <w:szCs w:val="24"/>
          <w:lang w:val="en"/>
        </w:rPr>
      </w:pPr>
      <w:r w:rsidRPr="00CB104E">
        <w:rPr>
          <w:rFonts w:eastAsia="Arial" w:cs="Times New Roman"/>
          <w:szCs w:val="24"/>
          <w:lang w:val="en"/>
        </w:rPr>
        <w:t xml:space="preserve">More information about </w:t>
      </w:r>
      <w:r w:rsidR="009823FF">
        <w:rPr>
          <w:rFonts w:eastAsia="Arial" w:cs="Times New Roman"/>
          <w:szCs w:val="24"/>
          <w:lang w:val="en"/>
        </w:rPr>
        <w:t xml:space="preserve">the </w:t>
      </w:r>
      <w:r w:rsidR="0054559E">
        <w:rPr>
          <w:rFonts w:eastAsia="Arial" w:cs="Times New Roman"/>
          <w:szCs w:val="24"/>
          <w:lang w:val="en"/>
        </w:rPr>
        <w:t xml:space="preserve">2019 </w:t>
      </w:r>
      <w:r w:rsidRPr="00CB104E">
        <w:rPr>
          <w:rFonts w:eastAsia="Arial" w:cs="Times New Roman"/>
          <w:szCs w:val="24"/>
          <w:lang w:val="en"/>
        </w:rPr>
        <w:t xml:space="preserve">Summer Session may be found at </w:t>
      </w:r>
      <w:hyperlink r:id="rId10" w:history="1">
        <w:r w:rsidRPr="00E31ED9">
          <w:rPr>
            <w:rStyle w:val="Hyperlink"/>
            <w:rFonts w:eastAsia="Arial" w:cs="Times New Roman"/>
            <w:szCs w:val="24"/>
            <w:lang w:val="en"/>
          </w:rPr>
          <w:t>Virtual Virginia Summer Session</w:t>
        </w:r>
        <w:r w:rsidR="00E31ED9" w:rsidRPr="00E31ED9">
          <w:rPr>
            <w:rStyle w:val="Hyperlink"/>
            <w:rFonts w:eastAsia="Arial" w:cs="Times New Roman"/>
            <w:noProof/>
            <w:szCs w:val="24"/>
          </w:rPr>
          <w:t>.</w:t>
        </w:r>
      </w:hyperlink>
    </w:p>
    <w:p w:rsidR="00CB104E" w:rsidRPr="00CB104E" w:rsidRDefault="00CB104E" w:rsidP="00CB104E">
      <w:pPr>
        <w:spacing w:after="160"/>
        <w:rPr>
          <w:rFonts w:eastAsia="Arial" w:cs="Times New Roman"/>
          <w:szCs w:val="24"/>
          <w:lang w:val="en"/>
        </w:rPr>
      </w:pPr>
      <w:r w:rsidRPr="00CB104E">
        <w:rPr>
          <w:rFonts w:eastAsia="Arial" w:cs="Times New Roman"/>
          <w:szCs w:val="24"/>
          <w:lang w:val="en"/>
        </w:rPr>
        <w:t xml:space="preserve">Additional information about Virtual Virginia can be found at </w:t>
      </w:r>
      <w:hyperlink r:id="rId11" w:history="1">
        <w:r w:rsidRPr="00E31ED9">
          <w:rPr>
            <w:rStyle w:val="Hyperlink"/>
            <w:rFonts w:eastAsia="Arial" w:cs="Times New Roman"/>
            <w:szCs w:val="24"/>
            <w:lang w:val="en"/>
          </w:rPr>
          <w:t>Virtual Virginia</w:t>
        </w:r>
        <w:r w:rsidR="00E31ED9" w:rsidRPr="00E31ED9">
          <w:rPr>
            <w:rStyle w:val="Hyperlink"/>
            <w:rFonts w:eastAsia="Arial" w:cs="Times New Roman"/>
            <w:noProof/>
            <w:szCs w:val="24"/>
          </w:rPr>
          <w:t>.</w:t>
        </w:r>
      </w:hyperlink>
    </w:p>
    <w:p w:rsidR="00167950" w:rsidRPr="002F2AF8" w:rsidRDefault="00CB104E" w:rsidP="00CB104E">
      <w:pPr>
        <w:rPr>
          <w:color w:val="000000"/>
          <w:szCs w:val="24"/>
        </w:rPr>
      </w:pPr>
      <w:r w:rsidRPr="00CB104E">
        <w:rPr>
          <w:rFonts w:eastAsia="Arial" w:cs="Times New Roman"/>
          <w:szCs w:val="24"/>
          <w:lang w:val="en"/>
        </w:rPr>
        <w:t xml:space="preserve">Questions may be directed to Tavy Young, VVA Registrar, via email at </w:t>
      </w:r>
      <w:hyperlink r:id="rId12">
        <w:r w:rsidRPr="00CB104E">
          <w:rPr>
            <w:rFonts w:eastAsia="Arial" w:cs="Times New Roman"/>
            <w:color w:val="1155CC"/>
            <w:szCs w:val="24"/>
            <w:u w:val="single"/>
            <w:lang w:val="en"/>
          </w:rPr>
          <w:t>tavy.young@virtualva.org</w:t>
        </w:r>
      </w:hyperlink>
      <w:r w:rsidRPr="00CB104E">
        <w:rPr>
          <w:rFonts w:eastAsia="Arial" w:cs="Times New Roman"/>
          <w:color w:val="0000EE"/>
          <w:szCs w:val="24"/>
          <w:lang w:val="en"/>
        </w:rPr>
        <w:t xml:space="preserve"> </w:t>
      </w:r>
      <w:r w:rsidRPr="00CB104E">
        <w:rPr>
          <w:rFonts w:eastAsia="Arial" w:cs="Times New Roman"/>
          <w:szCs w:val="24"/>
          <w:lang w:val="en"/>
        </w:rPr>
        <w:t>or telephone at (866) 903-8194.</w:t>
      </w:r>
    </w:p>
    <w:p w:rsidR="007C0B3F" w:rsidRPr="004F4CF1" w:rsidRDefault="005E064F" w:rsidP="004F4CF1">
      <w:pPr>
        <w:rPr>
          <w:color w:val="000000"/>
          <w:szCs w:val="24"/>
        </w:rPr>
      </w:pPr>
      <w:r w:rsidRPr="002F2AF8">
        <w:rPr>
          <w:rStyle w:val="PlaceholderText"/>
          <w:color w:val="auto"/>
          <w:szCs w:val="24"/>
        </w:rPr>
        <w:t>JFL/</w:t>
      </w:r>
      <w:r w:rsidR="003C5CDE">
        <w:rPr>
          <w:color w:val="000000"/>
          <w:szCs w:val="24"/>
        </w:rPr>
        <w:t>BK/ce</w:t>
      </w:r>
    </w:p>
    <w:sectPr w:rsidR="007C0B3F" w:rsidRPr="004F4C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attachedTemplate r:id="rId1"/>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04CA7"/>
    <w:rsid w:val="00167950"/>
    <w:rsid w:val="001D261B"/>
    <w:rsid w:val="00223595"/>
    <w:rsid w:val="00227B1E"/>
    <w:rsid w:val="0027145D"/>
    <w:rsid w:val="002A6350"/>
    <w:rsid w:val="002F2AF8"/>
    <w:rsid w:val="002F2DAF"/>
    <w:rsid w:val="0031177E"/>
    <w:rsid w:val="003238EA"/>
    <w:rsid w:val="00375DD8"/>
    <w:rsid w:val="003C5CDE"/>
    <w:rsid w:val="00406FF4"/>
    <w:rsid w:val="00414707"/>
    <w:rsid w:val="00456F3C"/>
    <w:rsid w:val="004F4CF1"/>
    <w:rsid w:val="004F6547"/>
    <w:rsid w:val="005426D2"/>
    <w:rsid w:val="0054559E"/>
    <w:rsid w:val="005840A5"/>
    <w:rsid w:val="005E064F"/>
    <w:rsid w:val="005E06EF"/>
    <w:rsid w:val="00625A9B"/>
    <w:rsid w:val="00653DCC"/>
    <w:rsid w:val="006F488F"/>
    <w:rsid w:val="00726AE8"/>
    <w:rsid w:val="0073236D"/>
    <w:rsid w:val="00756255"/>
    <w:rsid w:val="00793593"/>
    <w:rsid w:val="007A73B4"/>
    <w:rsid w:val="007B3D14"/>
    <w:rsid w:val="007C0B3F"/>
    <w:rsid w:val="007C3E67"/>
    <w:rsid w:val="00851C0B"/>
    <w:rsid w:val="008631A7"/>
    <w:rsid w:val="008C4A46"/>
    <w:rsid w:val="00977AFA"/>
    <w:rsid w:val="009823FF"/>
    <w:rsid w:val="009A42FF"/>
    <w:rsid w:val="009B51FA"/>
    <w:rsid w:val="009C7253"/>
    <w:rsid w:val="009E38A6"/>
    <w:rsid w:val="009F0D89"/>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B104E"/>
    <w:rsid w:val="00CF0233"/>
    <w:rsid w:val="00D01844"/>
    <w:rsid w:val="00D534B4"/>
    <w:rsid w:val="00D55B56"/>
    <w:rsid w:val="00D95780"/>
    <w:rsid w:val="00DA0871"/>
    <w:rsid w:val="00DA14B1"/>
    <w:rsid w:val="00DD368F"/>
    <w:rsid w:val="00DE36A1"/>
    <w:rsid w:val="00DE3F67"/>
    <w:rsid w:val="00E12E2F"/>
    <w:rsid w:val="00E31ED9"/>
    <w:rsid w:val="00E4085F"/>
    <w:rsid w:val="00E53C40"/>
    <w:rsid w:val="00E75FCE"/>
    <w:rsid w:val="00E760E6"/>
    <w:rsid w:val="00EB5FB9"/>
    <w:rsid w:val="00ED1613"/>
    <w:rsid w:val="00ED79E7"/>
    <w:rsid w:val="00F41943"/>
    <w:rsid w:val="00F81813"/>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customStyle="1" w:styleId="TableGrid1">
    <w:name w:val="Table Grid1"/>
    <w:basedOn w:val="TableNormal"/>
    <w:next w:val="TableGrid"/>
    <w:uiPriority w:val="59"/>
    <w:rsid w:val="00CB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2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vy.young@virtualv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rtualvirginia.org/" TargetMode="External"/><Relationship Id="rId5" Type="http://schemas.openxmlformats.org/officeDocument/2006/relationships/webSettings" Target="webSettings.xml"/><Relationship Id="rId10" Type="http://schemas.openxmlformats.org/officeDocument/2006/relationships/hyperlink" Target="https://www.virtualvirginia.org/programs/summer/"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F5AD-03F7-48D1-94BA-22C9E8F9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2019-03-14T12:38:00Z</dcterms:created>
  <dcterms:modified xsi:type="dcterms:W3CDTF">2019-03-14T12:38:00Z</dcterms:modified>
</cp:coreProperties>
</file>